
<file path=[Content_Types].xml><?xml version="1.0" encoding="utf-8"?>
<ns0:Types xmlns:ns0="http://schemas.openxmlformats.org/package/2006/content-types">
  <ns0:Default ContentType="image/png" Extension="png"/>
  <ns0:Default ContentType="image/jpeg" Extension="jpeg"/>
  <ns0:Default ContentType="image/jpeg" Extension="jpg"/>
  <ns0:Default ContentType="image/bmp" Extension="bmp"/>
  <ns0:Default ContentType="image/gif" Extension="gif"/>
  <ns0:Default ContentType="image/svg+xml" Extension="svg"/>
  <ns0:Default ContentType="application/vnd.openxmlformats-package.relationships+xml" Extension="rels"/>
  <ns0:Default ContentType="application/xml" Extension="xml"/>
  <ns0:Default ContentType="application/vnd.openxmlformats-officedocument.obfuscatedFont" Extension="odttf"/>
  <ns0:Override ContentType="application/vnd.openxmlformats-officedocument.wordprocessingml.document.main+xml" PartName="/word/document.xml"/>
  <ns0:Override ContentType="application/vnd.openxmlformats-officedocument.wordprocessingml.styles+xml" PartName="/word/styles.xml"/>
  <ns0:Override ContentType="application/vnd.openxmlformats-package.core-properties+xml" PartName="/docProps/core.xml"/>
  <ns0:Override ContentType="application/vnd.openxmlformats-officedocument.custom-properties+xml" PartName="/docProps/custom.xml"/>
  <ns0:Override ContentType="application/vnd.openxmlformats-officedocument.extended-properties+xml" PartName="/docProps/app.xml"/>
  <ns0:Override ContentType="application/vnd.openxmlformats-officedocument.wordprocessingml.numbering+xml" PartName="/word/numbering.xml"/>
  <ns0:Override ContentType="application/vnd.openxmlformats-officedocument.wordprocessingml.footnotes+xml" PartName="/word/footnotes.xml"/>
  <ns0:Override ContentType="application/vnd.openxmlformats-officedocument.wordprocessingml.endnotes+xml" PartName="/word/endnotes.xml"/>
  <ns0:Override ContentType="application/vnd.openxmlformats-officedocument.wordprocessingml.settings+xml" PartName="/word/settings.xml"/>
  <ns0:Override ContentType="application/vnd.openxmlformats-officedocument.wordprocessingml.comments+xml" PartName="/word/comments.xml"/>
  <ns0:Override ContentType="application/vnd.openxmlformats-officedocument.wordprocessingml.fontTable+xml" PartName="/word/fontTable.xml"/>
  <ns0:Override ContentType="application/vnd.openxmlformats-officedocument.wordprocessingml.header+xml" PartName="/word/header1.xml"/>
  <ns0:Override ContentType="application/vnd.openxmlformats-officedocument.wordprocessingml.footer+xml" PartName="/word/footer1.xml"/>
  <ns0:Override PartName="/word/webextensions/taskpanes.xml" ContentType="application/vnd.ms-office.webextensiontaskpanes+xml"/>
  <ns0:Override PartName="/word/webextensions/webextension1.xml" ContentType="application/vnd.ms-office.webextension+xml"/>
</ns0:Types>
</file>

<file path=_rels/.rels><?xml version='1.0' encoding='UTF-8'?>
<ns0:Relationships xmlns:ns0="http://schemas.openxmlformats.org/package/2006/relationships"><ns0:Relationship Id="rId1" Type="http://schemas.openxmlformats.org/officeDocument/2006/relationships/officeDocument" Target="word/document.xml" /><ns0:Relationship Id="rId2" Type="http://schemas.openxmlformats.org/package/2006/relationships/metadata/core-properties" Target="docProps/core.xml" /><ns0:Relationship Id="rId3" Type="http://schemas.openxmlformats.org/officeDocument/2006/relationships/extended-properties" Target="docProps/app.xml" /><ns0:Relationship Id="rId4" Type="http://schemas.openxmlformats.org/officeDocument/2006/relationships/custom-properties" Target="docProps/custom.xml" /><ns0:Relationship Id="rId5" Type="http://schemas.microsoft.com/office/2011/relationships/webextensiontaskpanes" Target="word/webextensions/taskpanes.xml" /></ns0: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single" w:color="0F8B7D" w:sz="48"/>
            </w:tcBorders>
            <w:shd w:fill="1F3A5F" w:color="auto" w:val="clear"/>
            <w:tcMar>
              <w:top w:type="dxa" w:w="500"/>
              <w:left w:type="dxa" w:w="400"/>
              <w:bottom w:type="dxa" w:w="500"/>
              <w:right w:type="dxa" w:w="400"/>
            </w:tcMar>
          </w:tcPr>
          <w:p>
            <w:pPr>
              <w:spacing w:after="120"/>
            </w:pPr>
            <w:r>
              <w:rPr>
                <w:b/>
                <w:bCs/>
                <w:color w:val="7FD1C7"/>
                <w:sz w:val="18"/>
                <w:szCs w:val="18"/>
              </w:rPr>
              <w:t xml:space="preserve">PLAYBOOK</w:t>
            </w:r>
          </w:p>
          <w:p>
            <w:pPr>
              <w:spacing w:after="160" w:line="240"/>
            </w:pPr>
            <w:r>
              <w:rPr>
                <w:b/>
                <w:bCs/>
                <w:color w:val="FFFFFF"/>
                <w:sz w:val="52"/>
                <w:szCs w:val="52"/>
              </w:rPr>
              <w:t xml:space="preserve">The Unified AI Adoption Framework</w:t>
            </w:r>
          </w:p>
          <w:p>
            <w:pPr>
              <w:spacing w:after="240"/>
            </w:pPr>
            <w:r>
              <w:rPr>
                <w:color w:val="DCE6F0"/>
                <w:sz w:val="24"/>
                <w:szCs w:val="24"/>
              </w:rPr>
              <w:t xml:space="preserve">From ambition to measurable value: one integrated model for strategy, governance, people and operations in the age of agentic AI</w:t>
            </w:r>
          </w:p>
          <w:p>
            <w:pPr>
              <w:spacing w:after="0"/>
            </w:pPr>
            <w:r>
              <w:rPr>
                <w:color w:val="B8C7D9"/>
                <w:sz w:val="17"/>
                <w:szCs w:val="17"/>
              </w:rPr>
              <w:t xml:space="preserve">Version 1.0  |  October 2026  |  For business leaders, AI practitioners and transformation teams</w:t>
            </w:r>
          </w:p>
        </w:tc>
      </w:tr>
    </w:tbl>
    <w:p>
      <w:pPr>
        <w:spacing w:after="200"/>
      </w:pPr>
    </w:p>
    <w:p>
      <w:pPr>
        <w:pStyle w:val="Heading3"/>
      </w:pPr>
      <w:r>
        <w:t xml:space="preserve">About this playbook</w:t>
      </w:r>
    </w:p>
    <w:p>
      <w:r>
        <w:rPr>
          <w:b w:val="false"/>
          <w:bCs w:val="false"/>
        </w:rPr>
        <w:t xml:space="preserve">Most organisations no longer ask whether to adopt AI. They ask how to move from scattered pilots to safe, scaled, measurable value, and increasingly how to do that with AI agents that act, not just answer. This playbook combines four widely used frameworks into one operating model so that leaders and practitioners share a common language and a common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3400"/>
        <w:gridCol w:w="4538"/>
      </w:tblGrid>
      <w:tr>
        <w:trPr>
          <w:tblHeader/>
        </w:trPr>
        <w:tc>
          <w:tcPr>
            <w:tcW w:type="dxa" w:w="1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Component</w:t>
            </w:r>
          </w:p>
        </w:tc>
        <w:tc>
          <w:tcPr>
            <w:tcW w:type="dxa" w:w="3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Framework used</w:t>
            </w:r>
          </w:p>
        </w:tc>
        <w:tc>
          <w:tcPr>
            <w:tcW w:type="dxa" w:w="45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The question it answers</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Structure</w:t>
            </w:r>
          </w:p>
        </w:tc>
        <w:tc>
          <w:tcPr>
            <w:tcW w:type="dxa" w:w="3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AWS Cloud Adoption Framework for AI, ML and Generative AI (CAF-AI): six perspectives</w:t>
            </w:r>
          </w:p>
        </w:tc>
        <w:tc>
          <w:tcPr>
            <w:tcW w:type="dxa" w:w="45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What capabilities must we build, and who owns them?</w:t>
            </w:r>
          </w:p>
        </w:tc>
      </w:tr>
      <w:tr>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Guardrails</w:t>
            </w:r>
          </w:p>
        </w:tc>
        <w:tc>
          <w:tcPr>
            <w:tcW w:type="dxa" w:w="3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NIST AI Risk Management Framework (with the Generative AI Profile) and ISO/IEC 42001</w:t>
            </w:r>
          </w:p>
        </w:tc>
        <w:tc>
          <w:tcPr>
            <w:tcW w:type="dxa" w:w="45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How do we stay safe, compliant and trusted as we scale?</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Diagnosis</w:t>
            </w:r>
          </w:p>
        </w:tc>
        <w:tc>
          <w:tcPr>
            <w:tcW w:type="dxa" w:w="3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Five-level AI maturity model (aligned with common analyst models)</w:t>
            </w:r>
          </w:p>
        </w:tc>
        <w:tc>
          <w:tcPr>
            <w:tcW w:type="dxa" w:w="45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Where are we today, and what is the next realistic step?</w:t>
            </w:r>
          </w:p>
        </w:tc>
      </w:tr>
      <w:tr>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People</w:t>
            </w:r>
          </w:p>
        </w:tc>
        <w:tc>
          <w:tcPr>
            <w:tcW w:type="dxa" w:w="3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Prosci ADKAR change model</w:t>
            </w:r>
          </w:p>
        </w:tc>
        <w:tc>
          <w:tcPr>
            <w:tcW w:type="dxa" w:w="45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How do we get people to actually change the way they work?</w:t>
            </w:r>
          </w:p>
        </w:tc>
      </w:tr>
    </w:tbl>
    <w:p>
      <w:pPr>
        <w:spacing w:after="120"/>
      </w:pPr>
    </w:p>
    <w:p>
      <w:r>
        <w:rPr>
          <w:b w:val="false"/>
          <w:bCs w:val="false"/>
          <w:color w:val="5A6270"/>
          <w:sz w:val="18"/>
          <w:szCs w:val="18"/>
        </w:rPr>
        <w:t xml:space="preserve"/>
      </w:r>
      <w:r>
        <w:rPr>
          <w:b/>
          <w:bCs/>
          <w:color w:val="5A6270"/>
          <w:sz w:val="18"/>
          <w:szCs w:val="18"/>
        </w:rPr>
        <w:t xml:space="preserve">A note on neutrality.</w:t>
      </w:r>
      <w:r>
        <w:rPr>
          <w:b w:val="false"/>
          <w:bCs w:val="false"/>
          <w:color w:val="5A6270"/>
          <w:sz w:val="18"/>
          <w:szCs w:val="18"/>
        </w:rPr>
        <w:t xml:space="preserve"> CAF-AI is published by AWS, but its six perspectives are technology-neutral and are used here purely as an organising structure. Nothing in this playbook depends on a specific cloud, model or vendor. Mappings between frameworks are this playbook’s practical interpretation, not official crosswalks.</w:t>
      </w:r>
    </w:p>
    <w:p>
      <w:pPr>
        <w:pStyle w:val="Heading3"/>
      </w:pPr>
      <w:r>
        <w:t xml:space="preserve">Contents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3600"/>
        <w:gridCol w:w="5238"/>
      </w:tblGrid>
      <w:tr>
        <w:trPr>
          <w:tblHeader/>
        </w:trPr>
        <w:tc>
          <w:tcPr>
            <w:tcW w:type="dxa" w:w="8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t>
            </w:r>
          </w:p>
        </w:tc>
        <w:tc>
          <w:tcPr>
            <w:tcW w:type="dxa" w:w="3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Section</w:t>
            </w:r>
          </w:p>
        </w:tc>
        <w:tc>
          <w:tcPr>
            <w:tcW w:type="dxa" w:w="52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What you will find</w:t>
            </w:r>
          </w:p>
        </w:tc>
      </w:tr>
      <w:tr>
        <w:tc>
          <w:tcPr>
            <w:tcW w:type="dxa" w:w="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Executive summary</w:t>
            </w:r>
          </w:p>
        </w:tc>
        <w:tc>
          <w:tcPr>
            <w:tcW w:type="dxa" w:w="5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Why AI programmes stall and how the integrated model fixes it</w:t>
            </w:r>
          </w:p>
        </w:tc>
      </w:tr>
      <w:tr>
        <w:tc>
          <w:tcPr>
            <w:tcW w:type="dxa" w:w="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1</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The integrated model at a glance</w:t>
            </w:r>
          </w:p>
        </w:tc>
        <w:tc>
          <w:tcPr>
            <w:tcW w:type="dxa" w:w="5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How the four frameworks fit together; crosswalk table</w:t>
            </w:r>
          </w:p>
        </w:tc>
      </w:tr>
      <w:tr>
        <w:tc>
          <w:tcPr>
            <w:tcW w:type="dxa" w:w="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2</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Maturity assessment</w:t>
            </w:r>
          </w:p>
        </w:tc>
        <w:tc>
          <w:tcPr>
            <w:tcW w:type="dxa" w:w="5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Five levels, seven dimensions, scoring rubric and target setting</w:t>
            </w:r>
          </w:p>
        </w:tc>
      </w:tr>
      <w:tr>
        <w:tc>
          <w:tcPr>
            <w:tcW w:type="dxa" w:w="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3</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Business: strategy and value realisation</w:t>
            </w:r>
          </w:p>
        </w:tc>
        <w:tc>
          <w:tcPr>
            <w:tcW w:type="dxa" w:w="5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Use-case selection, portfolio, value tracking, AI FinOps</w:t>
            </w:r>
          </w:p>
        </w:tc>
      </w:tr>
      <w:tr>
        <w:tc>
          <w:tcPr>
            <w:tcW w:type="dxa" w:w="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4</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People: ADKAR for AI</w:t>
            </w:r>
          </w:p>
        </w:tc>
        <w:tc>
          <w:tcPr>
            <w:tcW w:type="dxa" w:w="5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Change journey, operating model, roles, AI literacy, trust</w:t>
            </w:r>
          </w:p>
        </w:tc>
      </w:tr>
      <w:tr>
        <w:tc>
          <w:tcPr>
            <w:tcW w:type="dxa" w:w="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5</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Governance: NIST AI RMF and ISO/IEC 42001</w:t>
            </w:r>
          </w:p>
        </w:tc>
        <w:tc>
          <w:tcPr>
            <w:tcW w:type="dxa" w:w="5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Risk functions, GenAI risks, management system, regulation, risk tiers</w:t>
            </w:r>
          </w:p>
        </w:tc>
      </w:tr>
      <w:tr>
        <w:tc>
          <w:tcPr>
            <w:tcW w:type="dxa" w:w="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6</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Data foundations</w:t>
            </w:r>
          </w:p>
        </w:tc>
        <w:tc>
          <w:tcPr>
            <w:tcW w:type="dxa" w:w="5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AI-ready data, unstructured data and RAG, semantics, privacy</w:t>
            </w:r>
          </w:p>
        </w:tc>
      </w:tr>
      <w:tr>
        <w:tc>
          <w:tcPr>
            <w:tcW w:type="dxa" w:w="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7</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Platform and agentic AI</w:t>
            </w:r>
          </w:p>
        </w:tc>
        <w:tc>
          <w:tcPr>
            <w:tcW w:type="dxa" w:w="5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Reference architecture, autonomy levels, agent patterns, control plane</w:t>
            </w:r>
          </w:p>
        </w:tc>
      </w:tr>
      <w:tr>
        <w:tc>
          <w:tcPr>
            <w:tcW w:type="dxa" w:w="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8</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Security</w:t>
            </w:r>
          </w:p>
        </w:tc>
        <w:tc>
          <w:tcPr>
            <w:tcW w:type="dxa" w:w="5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threat landscape, securing agents, AI TRiSM, control checklist</w:t>
            </w:r>
          </w:p>
        </w:tc>
      </w:tr>
      <w:tr>
        <w:tc>
          <w:tcPr>
            <w:tcW w:type="dxa" w:w="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9</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Operations: observability and evaluation</w:t>
            </w:r>
          </w:p>
        </w:tc>
        <w:tc>
          <w:tcPr>
            <w:tcW w:type="dxa" w:w="5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What to measure, evaluation strategy, tracing, incidents</w:t>
            </w:r>
          </w:p>
        </w:tc>
      </w:tr>
      <w:tr>
        <w:tc>
          <w:tcPr>
            <w:tcW w:type="dxa" w:w="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10</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The adoption roadmap</w:t>
            </w:r>
          </w:p>
        </w:tc>
        <w:tc>
          <w:tcPr>
            <w:tcW w:type="dxa" w:w="5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12-month phased plan, starting points, failure modes</w:t>
            </w:r>
          </w:p>
        </w:tc>
      </w:tr>
      <w:tr>
        <w:tc>
          <w:tcPr>
            <w:tcW w:type="dxa" w:w="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A–F</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Appendices</w:t>
            </w:r>
          </w:p>
        </w:tc>
        <w:tc>
          <w:tcPr>
            <w:tcW w:type="dxa" w:w="5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Self-assessment, use-case canvas, agent risk tiering, glossary, worked examples, references</w:t>
            </w:r>
          </w:p>
        </w:tc>
      </w:tr>
    </w:tbl>
    <w:p>
      <w:pPr>
        <w:spacing w:after="120"/>
      </w:pPr>
    </w:p>
    <w:p>
      <w:pPr>
        <w:pStyle w:val="Heading1"/>
      </w:pPr>
      <w:r>
        <w:t xml:space="preserve">Executive summary</w:t>
      </w:r>
    </w:p>
    <w:p>
      <w:pPr>
        <w:pStyle w:val="Heading2"/>
      </w:pPr>
      <w:r>
        <w:t xml:space="preserve">The pilot-to-production gap</w:t>
      </w:r>
    </w:p>
    <w:p>
      <w:r>
        <w:rPr>
          <w:b w:val="false"/>
          <w:bCs w:val="false"/>
        </w:rPr>
        <w:t xml:space="preserve">AI use is now broad but shallow. Almost every organisation is using AI somewhere, but few have turned that activity into durable, enterprise-wide value. Agentic AI raises both the prize and the stakes: agents can complete multi-step work across systems, but they also introduce new risks, new costs and new questions about accountability.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11"/>
      </w:tblGrid>
      <w:tr>
        <w:tc>
          <w:tcPr>
            <w:tcW w:type="dxa" w:w="2409"/>
            <w:tcBorders>
              <w:top w:val="single" w:color="FFFFFF" w:sz="16"/>
              <w:left w:val="single" w:color="FFFFFF" w:sz="16"/>
              <w:bottom w:val="single" w:color="FFFFFF" w:sz="16"/>
              <w:right w:val="single" w:color="FFFFFF" w:sz="16"/>
            </w:tcBorders>
            <w:shd w:fill="1F3A5F" w:color="auto" w:val="clear"/>
            <w:tcMar>
              <w:top w:type="dxa" w:w="140"/>
              <w:left w:type="dxa" w:w="120"/>
              <w:bottom w:type="dxa" w:w="140"/>
              <w:right w:type="dxa" w:w="120"/>
            </w:tcMar>
          </w:tcPr>
          <w:p>
            <w:pPr>
              <w:spacing w:after="40"/>
              <w:jc w:val="center"/>
            </w:pPr>
            <w:r>
              <w:rPr>
                <w:b/>
                <w:bCs/>
                <w:color w:val="FFFFFF"/>
                <w:sz w:val="36"/>
                <w:szCs w:val="36"/>
              </w:rPr>
              <w:t xml:space="preserve">88%</w:t>
            </w:r>
          </w:p>
          <w:p>
            <w:pPr>
              <w:spacing w:after="0" w:line="240"/>
              <w:jc w:val="center"/>
            </w:pPr>
            <w:r>
              <w:rPr>
                <w:b w:val="false"/>
                <w:bCs w:val="false"/>
                <w:color w:val="E8EEF5"/>
                <w:sz w:val="16"/>
                <w:szCs w:val="16"/>
              </w:rPr>
              <w:t xml:space="preserve">of organisations use AI regularly in at least one business function (McKinsey, 2025)</w:t>
            </w:r>
          </w:p>
        </w:tc>
        <w:tc>
          <w:tcPr>
            <w:tcW w:type="dxa" w:w="2409"/>
            <w:tcBorders>
              <w:top w:val="single" w:color="FFFFFF" w:sz="16"/>
              <w:left w:val="single" w:color="FFFFFF" w:sz="16"/>
              <w:bottom w:val="single" w:color="FFFFFF" w:sz="16"/>
              <w:right w:val="single" w:color="FFFFFF" w:sz="16"/>
            </w:tcBorders>
            <w:shd w:fill="0F8B7D" w:color="auto" w:val="clear"/>
            <w:tcMar>
              <w:top w:type="dxa" w:w="140"/>
              <w:left w:type="dxa" w:w="120"/>
              <w:bottom w:type="dxa" w:w="140"/>
              <w:right w:type="dxa" w:w="120"/>
            </w:tcMar>
          </w:tcPr>
          <w:p>
            <w:pPr>
              <w:spacing w:after="40"/>
              <w:jc w:val="center"/>
            </w:pPr>
            <w:r>
              <w:rPr>
                <w:b/>
                <w:bCs/>
                <w:color w:val="FFFFFF"/>
                <w:sz w:val="36"/>
                <w:szCs w:val="36"/>
              </w:rPr>
              <w:t xml:space="preserve">~1 in 4</w:t>
            </w:r>
          </w:p>
          <w:p>
            <w:pPr>
              <w:spacing w:after="0" w:line="240"/>
              <w:jc w:val="center"/>
            </w:pPr>
            <w:r>
              <w:rPr>
                <w:b w:val="false"/>
                <w:bCs w:val="false"/>
                <w:color w:val="E8EEF5"/>
                <w:sz w:val="16"/>
                <w:szCs w:val="16"/>
              </w:rPr>
              <w:t xml:space="preserve">companies have moved 40% or more of their AI pilots into production (Deloitte, 2026)</w:t>
            </w:r>
          </w:p>
        </w:tc>
        <w:tc>
          <w:tcPr>
            <w:tcW w:type="dxa" w:w="2409"/>
            <w:tcBorders>
              <w:top w:val="single" w:color="FFFFFF" w:sz="16"/>
              <w:left w:val="single" w:color="FFFFFF" w:sz="16"/>
              <w:bottom w:val="single" w:color="FFFFFF" w:sz="16"/>
              <w:right w:val="single" w:color="FFFFFF" w:sz="16"/>
            </w:tcBorders>
            <w:shd w:fill="1F3A5F" w:color="auto" w:val="clear"/>
            <w:tcMar>
              <w:top w:type="dxa" w:w="140"/>
              <w:left w:type="dxa" w:w="120"/>
              <w:bottom w:type="dxa" w:w="140"/>
              <w:right w:type="dxa" w:w="120"/>
            </w:tcMar>
          </w:tcPr>
          <w:p>
            <w:pPr>
              <w:spacing w:after="40"/>
              <w:jc w:val="center"/>
            </w:pPr>
            <w:r>
              <w:rPr>
                <w:b/>
                <w:bCs/>
                <w:color w:val="FFFFFF"/>
                <w:sz w:val="36"/>
                <w:szCs w:val="36"/>
              </w:rPr>
              <w:t xml:space="preserve">17%</w:t>
            </w:r>
          </w:p>
          <w:p>
            <w:pPr>
              <w:spacing w:after="0" w:line="240"/>
              <w:jc w:val="center"/>
            </w:pPr>
            <w:r>
              <w:rPr>
                <w:b w:val="false"/>
                <w:bCs w:val="false"/>
                <w:color w:val="E8EEF5"/>
                <w:sz w:val="16"/>
                <w:szCs w:val="16"/>
              </w:rPr>
              <w:t xml:space="preserve">of organisations have deployed AI agents; over 60% expect to within two years (Gartner, 2026)</w:t>
            </w:r>
          </w:p>
        </w:tc>
        <w:tc>
          <w:tcPr>
            <w:tcW w:type="dxa" w:w="2411"/>
            <w:tcBorders>
              <w:top w:val="single" w:color="FFFFFF" w:sz="16"/>
              <w:left w:val="single" w:color="FFFFFF" w:sz="16"/>
              <w:bottom w:val="single" w:color="FFFFFF" w:sz="16"/>
              <w:right w:val="single" w:color="FFFFFF" w:sz="16"/>
            </w:tcBorders>
            <w:shd w:fill="0F8B7D" w:color="auto" w:val="clear"/>
            <w:tcMar>
              <w:top w:type="dxa" w:w="140"/>
              <w:left w:type="dxa" w:w="120"/>
              <w:bottom w:type="dxa" w:w="140"/>
              <w:right w:type="dxa" w:w="120"/>
            </w:tcMar>
          </w:tcPr>
          <w:p>
            <w:pPr>
              <w:spacing w:after="40"/>
              <w:jc w:val="center"/>
            </w:pPr>
            <w:r>
              <w:rPr>
                <w:b/>
                <w:bCs/>
                <w:color w:val="FFFFFF"/>
                <w:sz w:val="36"/>
                <w:szCs w:val="36"/>
              </w:rPr>
              <w:t xml:space="preserve">40%</w:t>
            </w:r>
          </w:p>
          <w:p>
            <w:pPr>
              <w:spacing w:after="0" w:line="240"/>
              <w:jc w:val="center"/>
            </w:pPr>
            <w:r>
              <w:rPr>
                <w:b w:val="false"/>
                <w:bCs w:val="false"/>
                <w:color w:val="E8EEF5"/>
                <w:sz w:val="16"/>
                <w:szCs w:val="16"/>
              </w:rPr>
              <w:t xml:space="preserve">of agentic AI projects predicted to be cancelled by end of 2027 (Gartner)</w:t>
            </w:r>
          </w:p>
        </w:tc>
      </w:tr>
    </w:tbl>
    <w:p>
      <w:pPr>
        <w:spacing w:after="120"/>
      </w:pPr>
    </w:p>
    <w:p>
      <w:pPr>
        <w:spacing w:after="160"/>
      </w:pPr>
      <w:r>
        <w:rPr>
          <w:i/>
          <w:iCs/>
          <w:color w:val="5A6270"/>
          <w:sz w:val="16"/>
          <w:szCs w:val="16"/>
        </w:rPr>
        <w:t xml:space="preserve">Sources: see Appendix F. Figures are quoted to frame the challenge; check the latest editions before using them externally.</w:t>
      </w:r>
    </w:p>
    <w:p>
      <w:r>
        <w:rPr>
          <w:b w:val="false"/>
          <w:bCs w:val="false"/>
        </w:rPr>
        <w:t xml:space="preserve">The reasons for stalling are consistent across industries and analyst research. Gartner attributes expected agentic AI cancellations to escalating costs, unclear business value and inadequate risk controls. In practice, five root causes recur:</w:t>
      </w:r>
    </w:p>
    <w:p>
      <w:pPr>
        <w:pStyle w:val="ListParagraph"/>
        <w:numPr>
          <w:ilvl w:val="0"/>
          <w:numId w:val="2"/>
        </w:numPr>
        <w:spacing w:after="60"/>
      </w:pPr>
      <w:r>
        <w:rPr>
          <w:b w:val="false"/>
          <w:bCs w:val="false"/>
        </w:rPr>
        <w:t xml:space="preserve"/>
      </w:r>
      <w:r>
        <w:rPr>
          <w:b/>
          <w:bCs/>
        </w:rPr>
        <w:t xml:space="preserve">No value thesis.</w:t>
      </w:r>
      <w:r>
        <w:rPr>
          <w:b w:val="false"/>
          <w:bCs w:val="false"/>
        </w:rPr>
        <w:t xml:space="preserve"> Use cases are chosen for novelty, without a baseline, an owner or a measurable outcome.</w:t>
      </w:r>
    </w:p>
    <w:p>
      <w:pPr>
        <w:pStyle w:val="ListParagraph"/>
        <w:numPr>
          <w:ilvl w:val="0"/>
          <w:numId w:val="2"/>
        </w:numPr>
        <w:spacing w:after="60"/>
      </w:pPr>
      <w:r>
        <w:rPr>
          <w:b w:val="false"/>
          <w:bCs w:val="false"/>
        </w:rPr>
        <w:t xml:space="preserve"/>
      </w:r>
      <w:r>
        <w:rPr>
          <w:b/>
          <w:bCs/>
        </w:rPr>
        <w:t xml:space="preserve">Data is not AI-ready.</w:t>
      </w:r>
      <w:r>
        <w:rPr>
          <w:b w:val="false"/>
          <w:bCs w:val="false"/>
        </w:rPr>
        <w:t xml:space="preserve"> Pilots run on hand-curated data that cannot be sustained, secured or scaled.</w:t>
      </w:r>
    </w:p>
    <w:p>
      <w:pPr>
        <w:pStyle w:val="ListParagraph"/>
        <w:numPr>
          <w:ilvl w:val="0"/>
          <w:numId w:val="2"/>
        </w:numPr>
        <w:spacing w:after="60"/>
      </w:pPr>
      <w:r>
        <w:rPr>
          <w:b w:val="false"/>
          <w:bCs w:val="false"/>
        </w:rPr>
        <w:t xml:space="preserve"/>
      </w:r>
      <w:r>
        <w:rPr>
          <w:b/>
          <w:bCs/>
        </w:rPr>
        <w:t xml:space="preserve">Governance arrives late.</w:t>
      </w:r>
      <w:r>
        <w:rPr>
          <w:b w:val="false"/>
          <w:bCs w:val="false"/>
        </w:rPr>
        <w:t xml:space="preserve"> Risk, legal and security reviews happen at the end, creating delays or outright blocks.</w:t>
      </w:r>
    </w:p>
    <w:p>
      <w:pPr>
        <w:pStyle w:val="ListParagraph"/>
        <w:numPr>
          <w:ilvl w:val="0"/>
          <w:numId w:val="2"/>
        </w:numPr>
        <w:spacing w:after="60"/>
      </w:pPr>
      <w:r>
        <w:rPr>
          <w:b w:val="false"/>
          <w:bCs w:val="false"/>
        </w:rPr>
        <w:t xml:space="preserve"/>
      </w:r>
      <w:r>
        <w:rPr>
          <w:b/>
          <w:bCs/>
        </w:rPr>
        <w:t xml:space="preserve">People are not brought along.</w:t>
      </w:r>
      <w:r>
        <w:rPr>
          <w:b w:val="false"/>
          <w:bCs w:val="false"/>
        </w:rPr>
        <w:t xml:space="preserve"> Tools are licensed but not adopted; fear, distrust and missing skills limit usage.</w:t>
      </w:r>
    </w:p>
    <w:p>
      <w:pPr>
        <w:pStyle w:val="ListParagraph"/>
        <w:numPr>
          <w:ilvl w:val="0"/>
          <w:numId w:val="2"/>
        </w:numPr>
        <w:spacing w:after="60"/>
      </w:pPr>
      <w:r>
        <w:rPr>
          <w:b w:val="false"/>
          <w:bCs w:val="false"/>
        </w:rPr>
        <w:t xml:space="preserve"/>
      </w:r>
      <w:r>
        <w:rPr>
          <w:b/>
          <w:bCs/>
        </w:rPr>
        <w:t xml:space="preserve">No operational discipline.</w:t>
      </w:r>
      <w:r>
        <w:rPr>
          <w:b w:val="false"/>
          <w:bCs w:val="false"/>
        </w:rPr>
        <w:t xml:space="preserve"> Without evaluation, observability and cost controls, quality and spend drift once real users arrive.</w:t>
      </w:r>
    </w:p>
    <w:p>
      <w:pPr>
        <w:pStyle w:val="Heading2"/>
      </w:pPr>
      <w:r>
        <w:t xml:space="preserve">One integrated model</w:t>
      </w:r>
    </w:p>
    <w:p>
      <w:r>
        <w:rPr>
          <w:b w:val="false"/>
          <w:bCs w:val="false"/>
        </w:rPr>
        <w:t xml:space="preserve">Each of the four frameworks in this playbook is strong on its own, but each covers only part of the problem. CAF-AI describes the capabilities to build but is light on change management. NIST AI RMF and ISO/IEC 42001 define how to manage risk but not how to create value. Maturity models diagnose but do not prescribe. ADKAR drives individual change but does not address technology. Combined, they give a complete picture:</w:t>
      </w:r>
    </w:p>
    <w:p>
      <w:pPr>
        <w:pStyle w:val="ListParagraph"/>
        <w:numPr>
          <w:ilvl w:val="0"/>
          <w:numId w:val="3"/>
        </w:numPr>
        <w:spacing w:after="60"/>
      </w:pPr>
      <w:r>
        <w:rPr>
          <w:b w:val="false"/>
          <w:bCs w:val="false"/>
        </w:rPr>
        <w:t xml:space="preserve"/>
      </w:r>
      <w:r>
        <w:rPr>
          <w:b/>
          <w:bCs/>
        </w:rPr>
        <w:t xml:space="preserve">CAF-AI provides the structure:</w:t>
      </w:r>
      <w:r>
        <w:rPr>
          <w:b w:val="false"/>
          <w:bCs w:val="false"/>
        </w:rPr>
        <w:t xml:space="preserve"> six perspectives (Business, People, Governance, Platform, Security, Operations) that organise every capability and every workstream in this playbook.</w:t>
      </w:r>
    </w:p>
    <w:p>
      <w:pPr>
        <w:pStyle w:val="ListParagraph"/>
        <w:numPr>
          <w:ilvl w:val="0"/>
          <w:numId w:val="3"/>
        </w:numPr>
        <w:spacing w:after="60"/>
      </w:pPr>
      <w:r>
        <w:rPr>
          <w:b w:val="false"/>
          <w:bCs w:val="false"/>
        </w:rPr>
        <w:t xml:space="preserve"/>
      </w:r>
      <w:r>
        <w:rPr>
          <w:b/>
          <w:bCs/>
        </w:rPr>
        <w:t xml:space="preserve">NIST AI RMF and ISO/IEC 42001 provide the guardrails:</w:t>
      </w:r>
      <w:r>
        <w:rPr>
          <w:b w:val="false"/>
          <w:bCs w:val="false"/>
        </w:rPr>
        <w:t xml:space="preserve"> a shared risk vocabulary and a management system that can be audited and, where needed, certified.</w:t>
      </w:r>
    </w:p>
    <w:p>
      <w:pPr>
        <w:pStyle w:val="ListParagraph"/>
        <w:numPr>
          <w:ilvl w:val="0"/>
          <w:numId w:val="3"/>
        </w:numPr>
        <w:spacing w:after="60"/>
      </w:pPr>
      <w:r>
        <w:rPr>
          <w:b w:val="false"/>
          <w:bCs w:val="false"/>
        </w:rPr>
        <w:t xml:space="preserve"/>
      </w:r>
      <w:r>
        <w:rPr>
          <w:b/>
          <w:bCs/>
        </w:rPr>
        <w:t xml:space="preserve">The maturity model provides the diagnosis:</w:t>
      </w:r>
      <w:r>
        <w:rPr>
          <w:b w:val="false"/>
          <w:bCs w:val="false"/>
        </w:rPr>
        <w:t xml:space="preserve"> a baseline across seven dimensions and a realistic target state.</w:t>
      </w:r>
    </w:p>
    <w:p>
      <w:pPr>
        <w:pStyle w:val="ListParagraph"/>
        <w:numPr>
          <w:ilvl w:val="0"/>
          <w:numId w:val="3"/>
        </w:numPr>
        <w:spacing w:after="60"/>
      </w:pPr>
      <w:r>
        <w:rPr>
          <w:b w:val="false"/>
          <w:bCs w:val="false"/>
        </w:rPr>
        <w:t xml:space="preserve"/>
      </w:r>
      <w:r>
        <w:rPr>
          <w:b/>
          <w:bCs/>
        </w:rPr>
        <w:t xml:space="preserve">ADKAR provides the people engine:</w:t>
      </w:r>
      <w:r>
        <w:rPr>
          <w:b w:val="false"/>
          <w:bCs w:val="false"/>
        </w:rPr>
        <w:t xml:space="preserve"> a structured way to move each affected group from awareness to sustained use.</w:t>
      </w:r>
    </w:p>
    <w:p>
      <w:pPr>
        <w:pStyle w:val="ListParagraph"/>
        <w:numPr>
          <w:ilvl w:val="0"/>
          <w:numId w:val="3"/>
        </w:numPr>
        <w:spacing w:after="60"/>
      </w:pPr>
      <w:r>
        <w:rPr>
          <w:b w:val="false"/>
          <w:bCs w:val="false"/>
        </w:rPr>
        <w:t xml:space="preserve"/>
      </w:r>
      <w:r>
        <w:rPr>
          <w:b/>
          <w:bCs/>
        </w:rPr>
        <w:t xml:space="preserve">Value realisation is the outcome that ties them together:</w:t>
      </w:r>
      <w:r>
        <w:rPr>
          <w:b w:val="false"/>
          <w:bCs w:val="false"/>
        </w:rPr>
        <w:t xml:space="preserve"> every capability, control and change activity should trace back to a measurable business result.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0F8B7D" w:sz="24"/>
              <w:bottom w:val="none" w:color="FFFFFF" w:sz="0"/>
              <w:right w:val="none" w:color="FFFFFF" w:sz="0"/>
            </w:tcBorders>
            <w:shd w:fill="E6F4F2" w:color="auto" w:val="clear"/>
            <w:tcMar>
              <w:top w:type="dxa" w:w="120"/>
              <w:left w:type="dxa" w:w="200"/>
              <w:bottom w:type="dxa" w:w="120"/>
              <w:right w:type="dxa" w:w="200"/>
            </w:tcMar>
          </w:tcPr>
          <w:p>
            <w:pPr>
              <w:spacing w:after="60"/>
            </w:pPr>
            <w:r>
              <w:rPr>
                <w:b/>
                <w:bCs/>
                <w:color w:val="0F8B7D"/>
                <w:sz w:val="20"/>
                <w:szCs w:val="20"/>
              </w:rPr>
              <w:t xml:space="preserve">The three ideas to remember</w:t>
            </w:r>
          </w:p>
          <w:p>
            <w:pPr>
              <w:pStyle w:val="ListParagraph"/>
              <w:numPr>
                <w:ilvl w:val="0"/>
                <w:numId w:val="4"/>
              </w:numPr>
              <w:spacing w:after="30" w:line="252"/>
            </w:pPr>
            <w:r>
              <w:rPr>
                <w:b w:val="false"/>
                <w:bCs w:val="false"/>
                <w:sz w:val="19"/>
                <w:szCs w:val="19"/>
              </w:rPr>
              <w:t xml:space="preserve"/>
            </w:r>
            <w:r>
              <w:rPr>
                <w:b/>
                <w:bCs/>
                <w:sz w:val="19"/>
                <w:szCs w:val="19"/>
              </w:rPr>
              <w:t xml:space="preserve">Value first, technology second.</w:t>
            </w:r>
            <w:r>
              <w:rPr>
                <w:b w:val="false"/>
                <w:bCs w:val="false"/>
                <w:sz w:val="19"/>
                <w:szCs w:val="19"/>
              </w:rPr>
              <w:t xml:space="preserve"> Start from three to five business objectives, not from a model or a tool.</w:t>
            </w:r>
          </w:p>
          <w:p>
            <w:pPr>
              <w:pStyle w:val="ListParagraph"/>
              <w:numPr>
                <w:ilvl w:val="0"/>
                <w:numId w:val="4"/>
              </w:numPr>
              <w:spacing w:after="30" w:line="252"/>
            </w:pPr>
            <w:r>
              <w:rPr>
                <w:b w:val="false"/>
                <w:bCs w:val="false"/>
                <w:sz w:val="19"/>
                <w:szCs w:val="19"/>
              </w:rPr>
              <w:t xml:space="preserve"/>
            </w:r>
            <w:r>
              <w:rPr>
                <w:b/>
                <w:bCs/>
                <w:sz w:val="19"/>
                <w:szCs w:val="19"/>
              </w:rPr>
              <w:t xml:space="preserve">Governance is an accelerator when built in early.</w:t>
            </w:r>
            <w:r>
              <w:rPr>
                <w:b w:val="false"/>
                <w:bCs w:val="false"/>
                <w:sz w:val="19"/>
                <w:szCs w:val="19"/>
              </w:rPr>
              <w:t xml:space="preserve"> Risk-tiered, proportionate controls let low-risk use cases move fast and high-risk ones move safely.</w:t>
            </w:r>
          </w:p>
          <w:p>
            <w:pPr>
              <w:pStyle w:val="ListParagraph"/>
              <w:numPr>
                <w:ilvl w:val="0"/>
                <w:numId w:val="4"/>
              </w:numPr>
              <w:spacing w:after="30" w:line="252"/>
            </w:pPr>
            <w:r>
              <w:rPr>
                <w:b w:val="false"/>
                <w:bCs w:val="false"/>
                <w:sz w:val="19"/>
                <w:szCs w:val="19"/>
              </w:rPr>
              <w:t xml:space="preserve"/>
            </w:r>
            <w:r>
              <w:rPr>
                <w:b/>
                <w:bCs/>
                <w:sz w:val="19"/>
                <w:szCs w:val="19"/>
              </w:rPr>
              <w:t xml:space="preserve">Agents need reliability more than autonomy.</w:t>
            </w:r>
            <w:r>
              <w:rPr>
                <w:b w:val="false"/>
                <w:bCs w:val="false"/>
                <w:sz w:val="19"/>
                <w:szCs w:val="19"/>
              </w:rPr>
              <w:t xml:space="preserve"> Give agents the least autonomy that delivers the outcome, and earn more autonomy through evidence.</w:t>
            </w:r>
          </w:p>
        </w:tc>
      </w:tr>
    </w:tbl>
    <w:p>
      <w:pPr>
        <w:spacing w:after="120"/>
      </w:pPr>
    </w:p>
    <w:p>
      <w:pPr>
        <w:pStyle w:val="Heading2"/>
      </w:pPr>
      <w:r>
        <w:t xml:space="preserve">How to use this document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600"/>
        <w:gridCol w:w="3638"/>
      </w:tblGrid>
      <w:tr>
        <w:trPr>
          <w:tblHeader/>
        </w:trPr>
        <w:tc>
          <w:tcPr>
            <w:tcW w:type="dxa" w:w="2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Audience</w:t>
            </w:r>
          </w:p>
        </w:tc>
        <w:tc>
          <w:tcPr>
            <w:tcW w:type="dxa" w:w="3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Read</w:t>
            </w:r>
          </w:p>
        </w:tc>
        <w:tc>
          <w:tcPr>
            <w:tcW w:type="dxa" w:w="36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Use it to</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Executives and sponsors</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Executive summary, Sections 1, 3 and 10</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Set direction, fund the portfolio and sponsor change</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AI, data and platform practitioners</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Sections 2 and 6 to 9; Appendices A and C</w:t>
            </w:r>
          </w:p>
        </w:tc>
        <w:tc>
          <w:tcPr>
            <w:tcW w:type="dxa" w:w="3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Design platforms, agents, controls and operating practices</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Risk, legal, compliance and security</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Sections 5 and 8; Appendix C</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Set proportionate guardrails and assurance</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Change, HR and enablement leads</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Section 4</w:t>
            </w:r>
          </w:p>
        </w:tc>
        <w:tc>
          <w:tcPr>
            <w:tcW w:type="dxa" w:w="3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Plan adoption, skills and operating-model change</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Workshop facilitators and trainers</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Section 2 and Appendices A to E</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Run assessments and teach the model with practical tools</w:t>
            </w:r>
          </w:p>
        </w:tc>
      </w:tr>
    </w:tbl>
    <w:p>
      <w:pPr>
        <w:spacing w:after="120"/>
      </w:pPr>
    </w:p>
    <w:p>
      <w:r>
        <w:rPr>
          <w:b w:val="false"/>
          <w:bCs w:val="false"/>
        </w:rPr>
        <w:t xml:space="preserve">A typical engagement runs in three steps: (1) run the maturity self-assessment in Appendix A with a cross-functional group; (2) prioritise use cases with the scoring in Section 3 and the canvas in Appendix B; (3) build a 12-month roadmap using Section 10, with governance gates from Section 5 and ADKAR actions from Section 4.</w:t>
      </w:r>
    </w:p>
    <w:p>
      <w:pPr>
        <w:pStyle w:val="Heading1"/>
      </w:pPr>
      <w:r>
        <w:t xml:space="preserve">1. The integrated model at a glance</w:t>
      </w:r>
    </w:p>
    <w:p>
      <w:r>
        <w:rPr>
          <w:b w:val="false"/>
          <w:bCs w:val="false"/>
        </w:rPr>
        <w:t xml:space="preserve">The model below places value realisation at the top as the outcome, the six CAF-AI perspectives as the pillars of capability, and three cross-cutting layers underneath: guardrails (NIST and ISO), people (ADKAR) and diagnosis (maturity). Every workstream in an AI programme should be able to point to its pillar, its guardrail obligations, its people impact and its current maturity.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1606"/>
        <w:gridCol w:w="1606"/>
        <w:gridCol w:w="1606"/>
        <w:gridCol w:w="1606"/>
        <w:gridCol w:w="1608"/>
      </w:tblGrid>
      <w:tr>
        <w:tc>
          <w:tcPr>
            <w:tcW w:type="dxa" w:w="9638"/>
            <w:gridSpan w:val="6"/>
            <w:tcBorders>
              <w:top w:val="single" w:color="FFFFFF" w:sz="16"/>
              <w:left w:val="single" w:color="FFFFFF" w:sz="16"/>
              <w:bottom w:val="single" w:color="FFFFFF" w:sz="16"/>
              <w:right w:val="single" w:color="FFFFFF" w:sz="16"/>
            </w:tcBorders>
            <w:shd w:fill="0F8B7D" w:color="auto" w:val="clear"/>
            <w:tcMar>
              <w:top w:type="dxa" w:w="110"/>
              <w:left w:type="dxa" w:w="140"/>
              <w:bottom w:type="dxa" w:w="110"/>
              <w:right w:type="dxa" w:w="140"/>
            </w:tcMar>
          </w:tcPr>
          <w:p>
            <w:pPr>
              <w:spacing w:after="0"/>
              <w:jc w:val="center"/>
            </w:pPr>
            <w:r>
              <w:rPr>
                <w:b w:val="false"/>
                <w:bCs w:val="false"/>
                <w:color w:val="FFFFFF"/>
                <w:sz w:val="18"/>
                <w:szCs w:val="18"/>
              </w:rPr>
              <w:t xml:space="preserve"/>
            </w:r>
            <w:r>
              <w:rPr>
                <w:b/>
                <w:bCs/>
                <w:color w:val="FFFFFF"/>
                <w:sz w:val="18"/>
                <w:szCs w:val="18"/>
              </w:rPr>
              <w:t xml:space="preserve">OUTCOME  |  Value realisation</w:t>
            </w:r>
            <w:r>
              <w:rPr>
                <w:b w:val="false"/>
                <w:bCs w:val="false"/>
                <w:color w:val="FFFFFF"/>
                <w:sz w:val="18"/>
                <w:szCs w:val="18"/>
              </w:rPr>
              <w:t xml:space="preserve">: measurable business results, tracked from a baseline</w:t>
            </w:r>
          </w:p>
        </w:tc>
      </w:tr>
      <w:tr>
        <w:tc>
          <w:tcPr>
            <w:tcW w:type="dxa" w:w="9638"/>
            <w:gridSpan w:val="6"/>
            <w:tcBorders>
              <w:top w:val="single" w:color="FFFFFF" w:sz="16"/>
              <w:left w:val="single" w:color="FFFFFF" w:sz="16"/>
              <w:bottom w:val="single" w:color="FFFFFF" w:sz="16"/>
              <w:right w:val="single" w:color="FFFFFF" w:sz="16"/>
            </w:tcBorders>
            <w:shd w:fill="D9E2EC" w:color="auto" w:val="clear"/>
            <w:tcMar>
              <w:top w:type="dxa" w:w="110"/>
              <w:left w:type="dxa" w:w="140"/>
              <w:bottom w:type="dxa" w:w="110"/>
              <w:right w:type="dxa" w:w="140"/>
            </w:tcMar>
          </w:tcPr>
          <w:p>
            <w:pPr>
              <w:spacing w:after="0"/>
              <w:jc w:val="center"/>
            </w:pPr>
            <w:r>
              <w:rPr>
                <w:b w:val="false"/>
                <w:bCs w:val="false"/>
                <w:color w:val="1F3A5F"/>
                <w:sz w:val="18"/>
                <w:szCs w:val="18"/>
              </w:rPr>
              <w:t xml:space="preserve"/>
            </w:r>
            <w:r>
              <w:rPr>
                <w:b/>
                <w:bCs/>
                <w:color w:val="1F3A5F"/>
                <w:sz w:val="18"/>
                <w:szCs w:val="18"/>
              </w:rPr>
              <w:t xml:space="preserve">STRUCTURE  |  CAF-AI perspectives</w:t>
            </w:r>
            <w:r>
              <w:rPr>
                <w:b w:val="false"/>
                <w:bCs w:val="false"/>
                <w:color w:val="1F3A5F"/>
                <w:sz w:val="18"/>
                <w:szCs w:val="18"/>
              </w:rPr>
              <w:t xml:space="preserve"/>
            </w:r>
          </w:p>
        </w:tc>
      </w:tr>
      <w:tr>
        <w:tc>
          <w:tcPr>
            <w:tcW w:type="dxa" w:w="1606"/>
            <w:tcBorders>
              <w:top w:val="single" w:color="FFFFFF" w:sz="16"/>
              <w:left w:val="single" w:color="FFFFFF" w:sz="16"/>
              <w:bottom w:val="single" w:color="FFFFFF" w:sz="16"/>
              <w:right w:val="single" w:color="FFFFFF" w:sz="16"/>
            </w:tcBorders>
            <w:shd w:fill="1F3A5F" w:color="auto" w:val="clear"/>
            <w:tcMar>
              <w:top w:type="dxa" w:w="160"/>
              <w:left w:type="dxa" w:w="80"/>
              <w:bottom w:type="dxa" w:w="160"/>
              <w:right w:type="dxa" w:w="80"/>
            </w:tcMar>
            <w:vAlign w:val="center"/>
          </w:tcPr>
          <w:p>
            <w:pPr>
              <w:spacing w:after="60"/>
              <w:jc w:val="center"/>
            </w:pPr>
            <w:r>
              <w:rPr>
                <w:b/>
                <w:bCs/>
                <w:color w:val="FFFFFF"/>
                <w:sz w:val="19"/>
                <w:szCs w:val="19"/>
              </w:rPr>
              <w:t xml:space="preserve">Business</w:t>
            </w:r>
          </w:p>
          <w:p>
            <w:pPr>
              <w:spacing w:after="0" w:line="240"/>
              <w:jc w:val="center"/>
            </w:pPr>
            <w:r>
              <w:rPr>
                <w:color w:val="DCE6F0"/>
                <w:sz w:val="15"/>
                <w:szCs w:val="15"/>
              </w:rPr>
              <w:t xml:space="preserve">Strategy, portfolio, value, AI FinOps</w:t>
            </w:r>
          </w:p>
        </w:tc>
        <w:tc>
          <w:tcPr>
            <w:tcW w:type="dxa" w:w="1606"/>
            <w:tcBorders>
              <w:top w:val="single" w:color="FFFFFF" w:sz="16"/>
              <w:left w:val="single" w:color="FFFFFF" w:sz="16"/>
              <w:bottom w:val="single" w:color="FFFFFF" w:sz="16"/>
              <w:right w:val="single" w:color="FFFFFF" w:sz="16"/>
            </w:tcBorders>
            <w:shd w:fill="2C5282" w:color="auto" w:val="clear"/>
            <w:tcMar>
              <w:top w:type="dxa" w:w="160"/>
              <w:left w:type="dxa" w:w="80"/>
              <w:bottom w:type="dxa" w:w="160"/>
              <w:right w:type="dxa" w:w="80"/>
            </w:tcMar>
            <w:vAlign w:val="center"/>
          </w:tcPr>
          <w:p>
            <w:pPr>
              <w:spacing w:after="60"/>
              <w:jc w:val="center"/>
            </w:pPr>
            <w:r>
              <w:rPr>
                <w:b/>
                <w:bCs/>
                <w:color w:val="FFFFFF"/>
                <w:sz w:val="19"/>
                <w:szCs w:val="19"/>
              </w:rPr>
              <w:t xml:space="preserve">People</w:t>
            </w:r>
          </w:p>
          <w:p>
            <w:pPr>
              <w:spacing w:after="0" w:line="240"/>
              <w:jc w:val="center"/>
            </w:pPr>
            <w:r>
              <w:rPr>
                <w:color w:val="DCE6F0"/>
                <w:sz w:val="15"/>
                <w:szCs w:val="15"/>
              </w:rPr>
              <w:t xml:space="preserve">Skills, culture, operating model</w:t>
            </w:r>
          </w:p>
        </w:tc>
        <w:tc>
          <w:tcPr>
            <w:tcW w:type="dxa" w:w="1606"/>
            <w:tcBorders>
              <w:top w:val="single" w:color="FFFFFF" w:sz="16"/>
              <w:left w:val="single" w:color="FFFFFF" w:sz="16"/>
              <w:bottom w:val="single" w:color="FFFFFF" w:sz="16"/>
              <w:right w:val="single" w:color="FFFFFF" w:sz="16"/>
            </w:tcBorders>
            <w:shd w:fill="1F3A5F" w:color="auto" w:val="clear"/>
            <w:tcMar>
              <w:top w:type="dxa" w:w="160"/>
              <w:left w:type="dxa" w:w="80"/>
              <w:bottom w:type="dxa" w:w="160"/>
              <w:right w:type="dxa" w:w="80"/>
            </w:tcMar>
            <w:vAlign w:val="center"/>
          </w:tcPr>
          <w:p>
            <w:pPr>
              <w:spacing w:after="60"/>
              <w:jc w:val="center"/>
            </w:pPr>
            <w:r>
              <w:rPr>
                <w:b/>
                <w:bCs/>
                <w:color w:val="FFFFFF"/>
                <w:sz w:val="19"/>
                <w:szCs w:val="19"/>
              </w:rPr>
              <w:t xml:space="preserve">Governance</w:t>
            </w:r>
          </w:p>
          <w:p>
            <w:pPr>
              <w:spacing w:after="0" w:line="240"/>
              <w:jc w:val="center"/>
            </w:pPr>
            <w:r>
              <w:rPr>
                <w:color w:val="DCE6F0"/>
                <w:sz w:val="15"/>
                <w:szCs w:val="15"/>
              </w:rPr>
              <w:t xml:space="preserve">Policy, risk, compliance, responsible AI</w:t>
            </w:r>
          </w:p>
        </w:tc>
        <w:tc>
          <w:tcPr>
            <w:tcW w:type="dxa" w:w="1606"/>
            <w:tcBorders>
              <w:top w:val="single" w:color="FFFFFF" w:sz="16"/>
              <w:left w:val="single" w:color="FFFFFF" w:sz="16"/>
              <w:bottom w:val="single" w:color="FFFFFF" w:sz="16"/>
              <w:right w:val="single" w:color="FFFFFF" w:sz="16"/>
            </w:tcBorders>
            <w:shd w:fill="2C5282" w:color="auto" w:val="clear"/>
            <w:tcMar>
              <w:top w:type="dxa" w:w="160"/>
              <w:left w:type="dxa" w:w="80"/>
              <w:bottom w:type="dxa" w:w="160"/>
              <w:right w:type="dxa" w:w="80"/>
            </w:tcMar>
            <w:vAlign w:val="center"/>
          </w:tcPr>
          <w:p>
            <w:pPr>
              <w:spacing w:after="60"/>
              <w:jc w:val="center"/>
            </w:pPr>
            <w:r>
              <w:rPr>
                <w:b/>
                <w:bCs/>
                <w:color w:val="FFFFFF"/>
                <w:sz w:val="19"/>
                <w:szCs w:val="19"/>
              </w:rPr>
              <w:t xml:space="preserve">Platform</w:t>
            </w:r>
          </w:p>
          <w:p>
            <w:pPr>
              <w:spacing w:after="0" w:line="240"/>
              <w:jc w:val="center"/>
            </w:pPr>
            <w:r>
              <w:rPr>
                <w:color w:val="DCE6F0"/>
                <w:sz w:val="15"/>
                <w:szCs w:val="15"/>
              </w:rPr>
              <w:t xml:space="preserve">Data, models, agents, architecture</w:t>
            </w:r>
          </w:p>
        </w:tc>
        <w:tc>
          <w:tcPr>
            <w:tcW w:type="dxa" w:w="1606"/>
            <w:tcBorders>
              <w:top w:val="single" w:color="FFFFFF" w:sz="16"/>
              <w:left w:val="single" w:color="FFFFFF" w:sz="16"/>
              <w:bottom w:val="single" w:color="FFFFFF" w:sz="16"/>
              <w:right w:val="single" w:color="FFFFFF" w:sz="16"/>
            </w:tcBorders>
            <w:shd w:fill="1F3A5F" w:color="auto" w:val="clear"/>
            <w:tcMar>
              <w:top w:type="dxa" w:w="160"/>
              <w:left w:type="dxa" w:w="80"/>
              <w:bottom w:type="dxa" w:w="160"/>
              <w:right w:type="dxa" w:w="80"/>
            </w:tcMar>
            <w:vAlign w:val="center"/>
          </w:tcPr>
          <w:p>
            <w:pPr>
              <w:spacing w:after="60"/>
              <w:jc w:val="center"/>
            </w:pPr>
            <w:r>
              <w:rPr>
                <w:b/>
                <w:bCs/>
                <w:color w:val="FFFFFF"/>
                <w:sz w:val="19"/>
                <w:szCs w:val="19"/>
              </w:rPr>
              <w:t xml:space="preserve">Security</w:t>
            </w:r>
          </w:p>
          <w:p>
            <w:pPr>
              <w:spacing w:after="0" w:line="240"/>
              <w:jc w:val="center"/>
            </w:pPr>
            <w:r>
              <w:rPr>
                <w:color w:val="DCE6F0"/>
                <w:sz w:val="15"/>
                <w:szCs w:val="15"/>
              </w:rPr>
              <w:t xml:space="preserve">Threats, identity, data protection</w:t>
            </w:r>
          </w:p>
        </w:tc>
        <w:tc>
          <w:tcPr>
            <w:tcW w:type="dxa" w:w="1608"/>
            <w:tcBorders>
              <w:top w:val="single" w:color="FFFFFF" w:sz="16"/>
              <w:left w:val="single" w:color="FFFFFF" w:sz="16"/>
              <w:bottom w:val="single" w:color="FFFFFF" w:sz="16"/>
              <w:right w:val="single" w:color="FFFFFF" w:sz="16"/>
            </w:tcBorders>
            <w:shd w:fill="2C5282" w:color="auto" w:val="clear"/>
            <w:tcMar>
              <w:top w:type="dxa" w:w="160"/>
              <w:left w:type="dxa" w:w="80"/>
              <w:bottom w:type="dxa" w:w="160"/>
              <w:right w:type="dxa" w:w="80"/>
            </w:tcMar>
            <w:vAlign w:val="center"/>
          </w:tcPr>
          <w:p>
            <w:pPr>
              <w:spacing w:after="60"/>
              <w:jc w:val="center"/>
            </w:pPr>
            <w:r>
              <w:rPr>
                <w:b/>
                <w:bCs/>
                <w:color w:val="FFFFFF"/>
                <w:sz w:val="19"/>
                <w:szCs w:val="19"/>
              </w:rPr>
              <w:t xml:space="preserve">Operations</w:t>
            </w:r>
          </w:p>
          <w:p>
            <w:pPr>
              <w:spacing w:after="0" w:line="240"/>
              <w:jc w:val="center"/>
            </w:pPr>
            <w:r>
              <w:rPr>
                <w:color w:val="DCE6F0"/>
                <w:sz w:val="15"/>
                <w:szCs w:val="15"/>
              </w:rPr>
              <w:t xml:space="preserve">Evaluation, observability, incidents</w:t>
            </w:r>
          </w:p>
        </w:tc>
      </w:tr>
      <w:tr>
        <w:tc>
          <w:tcPr>
            <w:tcW w:type="dxa" w:w="9638"/>
            <w:gridSpan w:val="6"/>
            <w:tcBorders>
              <w:top w:val="single" w:color="FFFFFF" w:sz="16"/>
              <w:left w:val="single" w:color="FFFFFF" w:sz="16"/>
              <w:bottom w:val="single" w:color="FFFFFF" w:sz="16"/>
              <w:right w:val="single" w:color="FFFFFF" w:sz="16"/>
            </w:tcBorders>
            <w:shd w:fill="C9D6E3" w:color="auto" w:val="clear"/>
            <w:tcMar>
              <w:top w:type="dxa" w:w="110"/>
              <w:left w:type="dxa" w:w="140"/>
              <w:bottom w:type="dxa" w:w="110"/>
              <w:right w:type="dxa" w:w="140"/>
            </w:tcMar>
          </w:tcPr>
          <w:p>
            <w:pPr>
              <w:spacing w:after="0"/>
              <w:jc w:val="center"/>
            </w:pPr>
            <w:r>
              <w:rPr>
                <w:b w:val="false"/>
                <w:bCs w:val="false"/>
                <w:color w:val="1F3A5F"/>
                <w:sz w:val="18"/>
                <w:szCs w:val="18"/>
              </w:rPr>
              <w:t xml:space="preserve"/>
            </w:r>
            <w:r>
              <w:rPr>
                <w:b/>
                <w:bCs/>
                <w:color w:val="1F3A5F"/>
                <w:sz w:val="18"/>
                <w:szCs w:val="18"/>
              </w:rPr>
              <w:t xml:space="preserve">GUARDRAILS  |  NIST AI RMF</w:t>
            </w:r>
            <w:r>
              <w:rPr>
                <w:b w:val="false"/>
                <w:bCs w:val="false"/>
                <w:color w:val="1F3A5F"/>
                <w:sz w:val="18"/>
                <w:szCs w:val="18"/>
              </w:rPr>
              <w:t xml:space="preserve"> (Govern, Map, Measure, Manage)  +  </w:t>
            </w:r>
            <w:r>
              <w:rPr>
                <w:b/>
                <w:bCs/>
                <w:color w:val="1F3A5F"/>
                <w:sz w:val="18"/>
                <w:szCs w:val="18"/>
              </w:rPr>
              <w:t xml:space="preserve">ISO/IEC 42001</w:t>
            </w:r>
            <w:r>
              <w:rPr>
                <w:b w:val="false"/>
                <w:bCs w:val="false"/>
                <w:color w:val="1F3A5F"/>
                <w:sz w:val="18"/>
                <w:szCs w:val="18"/>
              </w:rPr>
              <w:t xml:space="preserve"> AI management system</w:t>
            </w:r>
          </w:p>
        </w:tc>
      </w:tr>
      <w:tr>
        <w:tc>
          <w:tcPr>
            <w:tcW w:type="dxa" w:w="9638"/>
            <w:gridSpan w:val="6"/>
            <w:tcBorders>
              <w:top w:val="single" w:color="FFFFFF" w:sz="16"/>
              <w:left w:val="single" w:color="FFFFFF" w:sz="16"/>
              <w:bottom w:val="single" w:color="FFFFFF" w:sz="16"/>
              <w:right w:val="single" w:color="FFFFFF" w:sz="16"/>
            </w:tcBorders>
            <w:shd w:fill="FFF4E0" w:color="auto" w:val="clear"/>
            <w:tcMar>
              <w:top w:type="dxa" w:w="110"/>
              <w:left w:type="dxa" w:w="140"/>
              <w:bottom w:type="dxa" w:w="110"/>
              <w:right w:type="dxa" w:w="140"/>
            </w:tcMar>
          </w:tcPr>
          <w:p>
            <w:pPr>
              <w:spacing w:after="0"/>
              <w:jc w:val="center"/>
            </w:pPr>
            <w:r>
              <w:rPr>
                <w:b w:val="false"/>
                <w:bCs w:val="false"/>
                <w:color w:val="6B4200"/>
                <w:sz w:val="18"/>
                <w:szCs w:val="18"/>
              </w:rPr>
              <w:t xml:space="preserve"/>
            </w:r>
            <w:r>
              <w:rPr>
                <w:b/>
                <w:bCs/>
                <w:color w:val="6B4200"/>
                <w:sz w:val="18"/>
                <w:szCs w:val="18"/>
              </w:rPr>
              <w:t xml:space="preserve">PEOPLE  |  ADKAR</w:t>
            </w:r>
            <w:r>
              <w:rPr>
                <w:b w:val="false"/>
                <w:bCs w:val="false"/>
                <w:color w:val="6B4200"/>
                <w:sz w:val="18"/>
                <w:szCs w:val="18"/>
              </w:rPr>
              <w:t xml:space="preserve">: Awareness &gt; Desire &gt; Knowledge &gt; Ability &gt; Reinforcement</w:t>
            </w:r>
          </w:p>
        </w:tc>
      </w:tr>
      <w:tr>
        <w:tc>
          <w:tcPr>
            <w:tcW w:type="dxa" w:w="9638"/>
            <w:gridSpan w:val="6"/>
            <w:tcBorders>
              <w:top w:val="single" w:color="FFFFFF" w:sz="16"/>
              <w:left w:val="single" w:color="FFFFFF" w:sz="16"/>
              <w:bottom w:val="single" w:color="FFFFFF" w:sz="16"/>
              <w:right w:val="single" w:color="FFFFFF" w:sz="16"/>
            </w:tcBorders>
            <w:shd w:fill="F2F5F9" w:color="auto" w:val="clear"/>
            <w:tcMar>
              <w:top w:type="dxa" w:w="110"/>
              <w:left w:type="dxa" w:w="140"/>
              <w:bottom w:type="dxa" w:w="110"/>
              <w:right w:type="dxa" w:w="140"/>
            </w:tcMar>
          </w:tcPr>
          <w:p>
            <w:pPr>
              <w:spacing w:after="0"/>
              <w:jc w:val="center"/>
            </w:pPr>
            <w:r>
              <w:rPr>
                <w:b w:val="false"/>
                <w:bCs w:val="false"/>
                <w:color w:val="1F3A5F"/>
                <w:sz w:val="18"/>
                <w:szCs w:val="18"/>
              </w:rPr>
              <w:t xml:space="preserve"/>
            </w:r>
            <w:r>
              <w:rPr>
                <w:b/>
                <w:bCs/>
                <w:color w:val="1F3A5F"/>
                <w:sz w:val="18"/>
                <w:szCs w:val="18"/>
              </w:rPr>
              <w:t xml:space="preserve">DIAGNOSIS  |  Maturity</w:t>
            </w:r>
            <w:r>
              <w:rPr>
                <w:b w:val="false"/>
                <w:bCs w:val="false"/>
                <w:color w:val="1F3A5F"/>
                <w:sz w:val="18"/>
                <w:szCs w:val="18"/>
              </w:rPr>
              <w:t xml:space="preserve">: Level 1 Exploring &gt; 2 Experimenting &gt; 3 Operationalising &gt; 4 Scaling &gt; 5 Transforming</w:t>
            </w:r>
          </w:p>
        </w:tc>
      </w:tr>
    </w:tbl>
    <w:p>
      <w:pPr>
        <w:spacing w:after="200" w:before="80"/>
        <w:jc w:val="center"/>
      </w:pPr>
      <w:r>
        <w:rPr>
          <w:i/>
          <w:iCs/>
          <w:color w:val="5A6270"/>
          <w:sz w:val="16"/>
          <w:szCs w:val="16"/>
        </w:rPr>
        <w:t xml:space="preserve">Figure 1. The Unified AI Adoption Framework</w:t>
      </w:r>
    </w:p>
    <w:p>
      <w:pPr>
        <w:pStyle w:val="Heading2"/>
      </w:pPr>
      <w:r>
        <w:t xml:space="preserve">1.1 The role of each framework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2700"/>
        <w:gridCol w:w="2700"/>
        <w:gridCol w:w="2738"/>
      </w:tblGrid>
      <w:tr>
        <w:trPr>
          <w:tblHeader/>
        </w:trPr>
        <w:tc>
          <w:tcPr>
            <w:tcW w:type="dxa" w:w="15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Framework</w:t>
            </w:r>
          </w:p>
        </w:tc>
        <w:tc>
          <w:tcPr>
            <w:tcW w:type="dxa" w:w="2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Role in the model</w:t>
            </w:r>
          </w:p>
        </w:tc>
        <w:tc>
          <w:tcPr>
            <w:tcW w:type="dxa" w:w="2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Primary owner</w:t>
            </w:r>
          </w:p>
        </w:tc>
        <w:tc>
          <w:tcPr>
            <w:tcW w:type="dxa" w:w="27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Key output</w:t>
            </w:r>
          </w:p>
        </w:tc>
      </w:tr>
      <w:tr>
        <w:tc>
          <w:tcPr>
            <w:tcW w:type="dxa" w:w="1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CAF-AI</w:t>
            </w:r>
          </w:p>
        </w:tc>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Organises capabilities into six perspectives and an iterative transformation journey</w:t>
            </w:r>
          </w:p>
        </w:tc>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AI programme lead / CoE</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Capability plan by perspective</w:t>
            </w:r>
          </w:p>
        </w:tc>
      </w:tr>
      <w:tr>
        <w:tc>
          <w:tcPr>
            <w:tcW w:type="dxa" w:w="1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NIST AI RMF</w:t>
            </w:r>
          </w:p>
        </w:tc>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Risk vocabulary and practices across the AI lifecycle (Govern, Map, Measure, Manage)</w:t>
            </w:r>
          </w:p>
        </w:tc>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Chief risk officer / AI risk lead</w:t>
            </w:r>
          </w:p>
        </w:tc>
        <w:tc>
          <w:tcPr>
            <w:tcW w:type="dxa" w:w="2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Risk register, risk tiers, controls</w:t>
            </w:r>
          </w:p>
        </w:tc>
      </w:tr>
      <w:tr>
        <w:tc>
          <w:tcPr>
            <w:tcW w:type="dxa" w:w="1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ISO/IEC 42001</w:t>
            </w:r>
          </w:p>
        </w:tc>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Auditable AI management system (policies, roles, objectives, continual improvement)</w:t>
            </w:r>
          </w:p>
        </w:tc>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Compliance / quality lead</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AIMS documentation; certification if required</w:t>
            </w:r>
          </w:p>
        </w:tc>
      </w:tr>
      <w:tr>
        <w:tc>
          <w:tcPr>
            <w:tcW w:type="dxa" w:w="1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Maturity model</w:t>
            </w:r>
          </w:p>
        </w:tc>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Baseline and target state for each dimension</w:t>
            </w:r>
          </w:p>
        </w:tc>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AI programme lead with business owners</w:t>
            </w:r>
          </w:p>
        </w:tc>
        <w:tc>
          <w:tcPr>
            <w:tcW w:type="dxa" w:w="2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Heat map and prioritised gaps</w:t>
            </w:r>
          </w:p>
        </w:tc>
      </w:tr>
      <w:tr>
        <w:tc>
          <w:tcPr>
            <w:tcW w:type="dxa" w:w="1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ADKAR</w:t>
            </w:r>
          </w:p>
        </w:tc>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Drives adoption for each impacted group</w:t>
            </w:r>
          </w:p>
        </w:tc>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Change and enablement lead</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Change plan, training, adoption metrics</w:t>
            </w:r>
          </w:p>
        </w:tc>
      </w:tr>
    </w:tbl>
    <w:p>
      <w:pPr>
        <w:spacing w:after="120"/>
      </w:pPr>
    </w:p>
    <w:p>
      <w:pPr>
        <w:pStyle w:val="Heading2"/>
      </w:pPr>
      <w:r>
        <w:t xml:space="preserve">1.2 Crosswalk: how the frameworks connect</w:t>
      </w:r>
    </w:p>
    <w:p>
      <w:r>
        <w:rPr>
          <w:b w:val="false"/>
          <w:bCs w:val="false"/>
        </w:rPr>
        <w:t xml:space="preserve">Use this crosswalk to make sure each CAF-AI perspective has its risk, management-system and people obligations covered. The NIST and ISO references show where each perspective is most strongly anchored; in reality, all functions touch all perspectives.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50"/>
        <w:gridCol w:w="2000"/>
        <w:gridCol w:w="1900"/>
        <w:gridCol w:w="2050"/>
        <w:gridCol w:w="1300"/>
        <w:gridCol w:w="1038"/>
      </w:tblGrid>
      <w:tr>
        <w:trPr>
          <w:tblHeader/>
        </w:trPr>
        <w:tc>
          <w:tcPr>
            <w:tcW w:type="dxa" w:w="135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CAF-AI perspective</w:t>
            </w:r>
          </w:p>
        </w:tc>
        <w:tc>
          <w:tcPr>
            <w:tcW w:type="dxa" w:w="2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Focus</w:t>
            </w:r>
          </w:p>
        </w:tc>
        <w:tc>
          <w:tcPr>
            <w:tcW w:type="dxa" w:w="19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NIST AI RMF</w:t>
            </w:r>
          </w:p>
        </w:tc>
        <w:tc>
          <w:tcPr>
            <w:tcW w:type="dxa" w:w="205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ISO/IEC 42001</w:t>
            </w:r>
          </w:p>
        </w:tc>
        <w:tc>
          <w:tcPr>
            <w:tcW w:type="dxa" w:w="1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ADKAR emphasis</w:t>
            </w:r>
          </w:p>
        </w:tc>
        <w:tc>
          <w:tcPr>
            <w:tcW w:type="dxa" w:w="10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Section</w:t>
            </w:r>
          </w:p>
        </w:tc>
      </w:tr>
      <w:tr>
        <w:tc>
          <w:tcPr>
            <w:tcW w:type="dxa" w:w="13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Business</w:t>
            </w:r>
          </w:p>
        </w:tc>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Strategy, use-case portfolio, funding, value realisation, cost</w:t>
            </w:r>
          </w:p>
        </w:tc>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Govern (accountability); Map (context, benefits, impacts)</w:t>
            </w:r>
          </w:p>
        </w:tc>
        <w:tc>
          <w:tcPr>
            <w:tcW w:type="dxa" w:w="20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Cl. 4 Context; Cl. 6 Objectives and planning</w:t>
            </w:r>
          </w:p>
        </w:tc>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Awareness, Desire</w:t>
            </w:r>
          </w:p>
        </w:tc>
        <w:tc>
          <w:tcPr>
            <w:tcW w:type="dxa" w:w="1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3</w:t>
            </w:r>
          </w:p>
        </w:tc>
      </w:tr>
      <w:tr>
        <w:tc>
          <w:tcPr>
            <w:tcW w:type="dxa" w:w="13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People</w:t>
            </w:r>
          </w:p>
        </w:tc>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Leadership, skills, culture, roles, operating model</w:t>
            </w:r>
          </w:p>
        </w:tc>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Govern (roles, culture, workforce)</w:t>
            </w:r>
          </w:p>
        </w:tc>
        <w:tc>
          <w:tcPr>
            <w:tcW w:type="dxa" w:w="20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Cl. 5 Leadership; Cl. 7 Competence and awareness</w:t>
            </w:r>
          </w:p>
        </w:tc>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All five stages</w:t>
            </w:r>
          </w:p>
        </w:tc>
        <w:tc>
          <w:tcPr>
            <w:tcW w:type="dxa" w:w="1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4</w:t>
            </w:r>
          </w:p>
        </w:tc>
      </w:tr>
      <w:tr>
        <w:tc>
          <w:tcPr>
            <w:tcW w:type="dxa" w:w="13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Governance</w:t>
            </w:r>
          </w:p>
        </w:tc>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Policy, risk tiers, compliance, responsible AI, inventory</w:t>
            </w:r>
          </w:p>
        </w:tc>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Govern; Map; Manage</w:t>
            </w:r>
          </w:p>
        </w:tc>
        <w:tc>
          <w:tcPr>
            <w:tcW w:type="dxa" w:w="20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Cl. 6 Risk and impact assessment; Cl. 8 Operation; Annex A</w:t>
            </w:r>
          </w:p>
        </w:tc>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Reinforcement</w:t>
            </w:r>
          </w:p>
        </w:tc>
        <w:tc>
          <w:tcPr>
            <w:tcW w:type="dxa" w:w="1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5</w:t>
            </w:r>
          </w:p>
        </w:tc>
      </w:tr>
      <w:tr>
        <w:tc>
          <w:tcPr>
            <w:tcW w:type="dxa" w:w="13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Platform</w:t>
            </w:r>
          </w:p>
        </w:tc>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Data foundations, models, agents, tools, architecture</w:t>
            </w:r>
          </w:p>
        </w:tc>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Map (system context); Measure (testing)</w:t>
            </w:r>
          </w:p>
        </w:tc>
        <w:tc>
          <w:tcPr>
            <w:tcW w:type="dxa" w:w="20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Annex A: data, life cycle, third parties</w:t>
            </w:r>
          </w:p>
        </w:tc>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Knowledge, Ability</w:t>
            </w:r>
          </w:p>
        </w:tc>
        <w:tc>
          <w:tcPr>
            <w:tcW w:type="dxa" w:w="1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6, 7</w:t>
            </w:r>
          </w:p>
        </w:tc>
      </w:tr>
      <w:tr>
        <w:tc>
          <w:tcPr>
            <w:tcW w:type="dxa" w:w="13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Security</w:t>
            </w:r>
          </w:p>
        </w:tc>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Threat model, identity, data protection, AI-specific attacks</w:t>
            </w:r>
          </w:p>
        </w:tc>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Measure (security, resilience); Manage (response)</w:t>
            </w:r>
          </w:p>
        </w:tc>
        <w:tc>
          <w:tcPr>
            <w:tcW w:type="dxa" w:w="20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Annex A controls alongside ISO/IEC 27001</w:t>
            </w:r>
          </w:p>
        </w:tc>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Ability</w:t>
            </w:r>
          </w:p>
        </w:tc>
        <w:tc>
          <w:tcPr>
            <w:tcW w:type="dxa" w:w="1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8</w:t>
            </w:r>
          </w:p>
        </w:tc>
      </w:tr>
      <w:tr>
        <w:tc>
          <w:tcPr>
            <w:tcW w:type="dxa" w:w="13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Operations</w:t>
            </w:r>
          </w:p>
        </w:tc>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Evaluation, observability, incident management, FinOps</w:t>
            </w:r>
          </w:p>
        </w:tc>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Measure; Manage (monitoring, incidents)</w:t>
            </w:r>
          </w:p>
        </w:tc>
        <w:tc>
          <w:tcPr>
            <w:tcW w:type="dxa" w:w="20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Cl. 9 Performance evaluation; Cl. 10 Improvement</w:t>
            </w:r>
          </w:p>
        </w:tc>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Reinforcement</w:t>
            </w:r>
          </w:p>
        </w:tc>
        <w:tc>
          <w:tcPr>
            <w:tcW w:type="dxa" w:w="1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9</w:t>
            </w:r>
          </w:p>
        </w:tc>
      </w:tr>
    </w:tbl>
    <w:p>
      <w:pPr>
        <w:spacing w:after="120"/>
      </w:pPr>
    </w:p>
    <w:p>
      <w:pPr>
        <w:pStyle w:val="Heading2"/>
      </w:pPr>
      <w:r>
        <w:t xml:space="preserve">1.3 The transformation journey</w:t>
      </w:r>
    </w:p>
    <w:p>
      <w:r>
        <w:rPr>
          <w:b w:val="false"/>
          <w:bCs w:val="false"/>
        </w:rPr>
        <w:t xml:space="preserve">CAF describes an iterative journey of four phases: </w:t>
      </w:r>
      <w:r>
        <w:rPr>
          <w:b/>
          <w:bCs/>
        </w:rPr>
        <w:t xml:space="preserve">Envision, Align, Launch and Scale</w:t>
      </w:r>
      <w:r>
        <w:rPr>
          <w:b w:val="false"/>
          <w:bCs w:val="false"/>
        </w:rPr>
        <w:t xml:space="preserve">. The journey is repeated for each wave of use cases. Each phase has a governance gate and a dominant ADKAR focus, which is how the frameworks work together over time.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600"/>
        <w:gridCol w:w="2500"/>
        <w:gridCol w:w="1700"/>
        <w:gridCol w:w="1538"/>
      </w:tblGrid>
      <w:tr>
        <w:trPr>
          <w:tblHeader/>
        </w:trPr>
        <w:tc>
          <w:tcPr>
            <w:tcW w:type="dxa" w:w="1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Phase</w:t>
            </w:r>
          </w:p>
        </w:tc>
        <w:tc>
          <w:tcPr>
            <w:tcW w:type="dxa" w:w="2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Goal</w:t>
            </w:r>
          </w:p>
        </w:tc>
        <w:tc>
          <w:tcPr>
            <w:tcW w:type="dxa" w:w="25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Governance gate (exit)</w:t>
            </w:r>
          </w:p>
        </w:tc>
        <w:tc>
          <w:tcPr>
            <w:tcW w:type="dxa" w:w="1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ADKAR focus</w:t>
            </w:r>
          </w:p>
        </w:tc>
        <w:tc>
          <w:tcPr>
            <w:tcW w:type="dxa" w:w="15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Typical maturity move</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Envision</w:t>
            </w:r>
          </w:p>
        </w:tc>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Identify and prioritise AI opportunities tied to business objectives and sponsors</w:t>
            </w:r>
          </w:p>
        </w:tc>
        <w:tc>
          <w:tcPr>
            <w:tcW w:type="dxa" w:w="2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Use case approved with value hypothesis and initial risk tier</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Awareness</w:t>
            </w:r>
          </w:p>
        </w:tc>
        <w:tc>
          <w:tcPr>
            <w:tcW w:type="dxa" w:w="15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L1 to L2</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Align</w:t>
            </w:r>
          </w:p>
        </w:tc>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Close capability gaps across the six perspectives; agree operating model and guardrails</w:t>
            </w:r>
          </w:p>
        </w:tc>
        <w:tc>
          <w:tcPr>
            <w:tcW w:type="dxa" w:w="2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Policy, risk tiers, data access and security design agreed</w:t>
            </w:r>
          </w:p>
        </w:tc>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Desire, Knowledge</w:t>
            </w:r>
          </w:p>
        </w:tc>
        <w:tc>
          <w:tcPr>
            <w:tcW w:type="dxa" w:w="15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L2</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Launch</w:t>
            </w:r>
          </w:p>
        </w:tc>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Deliver pilots to production with real users and measured outcomes</w:t>
            </w:r>
          </w:p>
        </w:tc>
        <w:tc>
          <w:tcPr>
            <w:tcW w:type="dxa" w:w="2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Pre-production evaluation, red team and human-oversight design passed</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Knowledge, Ability</w:t>
            </w:r>
          </w:p>
        </w:tc>
        <w:tc>
          <w:tcPr>
            <w:tcW w:type="dxa" w:w="15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L2 to L3</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Scale</w:t>
            </w:r>
          </w:p>
        </w:tc>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Expand proven patterns, reuse platform components, industrialise operations</w:t>
            </w:r>
          </w:p>
        </w:tc>
        <w:tc>
          <w:tcPr>
            <w:tcW w:type="dxa" w:w="2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Value verified against baseline; monitoring and incident process live</w:t>
            </w:r>
          </w:p>
        </w:tc>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Ability, Reinforcement</w:t>
            </w:r>
          </w:p>
        </w:tc>
        <w:tc>
          <w:tcPr>
            <w:tcW w:type="dxa" w:w="15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L3 to L4+</w:t>
            </w:r>
          </w:p>
        </w:tc>
      </w:tr>
    </w:tbl>
    <w:p>
      <w:pPr>
        <w:spacing w:after="120"/>
      </w:pPr>
    </w:p>
    <w:p>
      <w:pPr>
        <w:pStyle w:val="Heading1"/>
      </w:pPr>
      <w:r>
        <w:t xml:space="preserve">2. Maturity assessment: where are you today?</w:t>
      </w:r>
    </w:p>
    <w:p>
      <w:r>
        <w:rPr>
          <w:b w:val="false"/>
          <w:bCs w:val="false"/>
        </w:rPr>
        <w:t xml:space="preserve">A maturity assessment gives a shared, evidence-based view of the starting point and stops teams over-investing in one area (often models and tools) while another (often data, governance or adoption) holds everything back. The model below uses five levels and seven dimensions: the six CAF-AI perspectives, with Platform split into Data Foundations and Platform and Agentic AI because these are the most common blockers.</w:t>
      </w:r>
    </w:p>
    <w:p>
      <w:pPr>
        <w:pStyle w:val="Heading2"/>
      </w:pPr>
      <w:r>
        <w:t xml:space="preserve">2.1 The five levels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700"/>
        <w:gridCol w:w="3700"/>
        <w:gridCol w:w="3638"/>
      </w:tblGrid>
      <w:tr>
        <w:trPr>
          <w:tblHeader/>
        </w:trPr>
        <w:tc>
          <w:tcPr>
            <w:tcW w:type="dxa" w:w="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L</w:t>
            </w:r>
          </w:p>
        </w:tc>
        <w:tc>
          <w:tcPr>
            <w:tcW w:type="dxa" w:w="1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Level</w:t>
            </w:r>
          </w:p>
        </w:tc>
        <w:tc>
          <w:tcPr>
            <w:tcW w:type="dxa" w:w="3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Description</w:t>
            </w:r>
          </w:p>
        </w:tc>
        <w:tc>
          <w:tcPr>
            <w:tcW w:type="dxa" w:w="36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Typical signals</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1</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Exploring</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Individual curiosity and ad hoc use of public tools. No strategy, policy or owner.</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Shadow AI; enthusiasm mixed with anxiety; no inventory of AI use</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2</w:t>
            </w:r>
          </w:p>
        </w:tc>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Experimenting</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Sanctioned pilots and proofs of concept. Early policy and a small central team forming.</w:t>
            </w:r>
          </w:p>
        </w:tc>
        <w:tc>
          <w:tcPr>
            <w:tcW w:type="dxa" w:w="3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Many pilots, few in production; value claims without baselines</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3</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Operationalising</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First use cases in production with owners, measured value, risk reviews and a standard platform.</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Repeatable delivery path; evaluation before release; AI inventory exists</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4</w:t>
            </w:r>
          </w:p>
        </w:tc>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Scaling</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A managed portfolio on a shared platform, with federated delivery, risk-tiered governance and supervised agents in production.</w:t>
            </w:r>
          </w:p>
        </w:tc>
        <w:tc>
          <w:tcPr>
            <w:tcW w:type="dxa" w:w="3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Reuse across business units; value reported quarterly; agent registry</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5</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Transforming</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AI is embedded in the operating model, products and decision-making. Autonomy is extended where evidence supports it.</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New AI-enabled revenue; continuous assurance; human-agent teams are normal</w:t>
            </w:r>
          </w:p>
        </w:tc>
      </w:tr>
    </w:tbl>
    <w:p>
      <w:pPr>
        <w:spacing w:after="120"/>
      </w:pPr>
    </w:p>
    <w:p>
      <w:r>
        <w:rPr>
          <w:b w:val="false"/>
          <w:bCs w:val="false"/>
          <w:color w:val="5A6270"/>
          <w:sz w:val="18"/>
          <w:szCs w:val="18"/>
        </w:rPr>
        <w:t xml:space="preserve">These levels align broadly with widely cited analyst models, such as Gartner’s five-level AI maturity model and MIT CISR’s four-stage enterprise AI maturity model. The names used here are neutral so the model can be used with any customer.</w:t>
      </w:r>
    </w:p>
    <w:p>
      <w:pPr>
        <w:pStyle w:val="Heading2"/>
      </w:pPr>
      <w:r>
        <w:t xml:space="preserve">2.2 Scoring rubric by dimension</w:t>
      </w:r>
    </w:p>
    <w:p>
      <w:r>
        <w:rPr>
          <w:b w:val="false"/>
          <w:bCs w:val="false"/>
        </w:rPr>
        <w:t xml:space="preserve">For each dimension, choose the column that best describes current reality, based on evidence rather than intent. Half-levels are acceptable. Appendix A contains the questions to use in a workshop.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38"/>
        <w:gridCol w:w="1640"/>
        <w:gridCol w:w="1640"/>
        <w:gridCol w:w="1640"/>
        <w:gridCol w:w="1640"/>
        <w:gridCol w:w="1640"/>
      </w:tblGrid>
      <w:tr>
        <w:trPr>
          <w:tblHeader/>
        </w:trPr>
        <w:tc>
          <w:tcPr>
            <w:tcW w:type="dxa" w:w="14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5"/>
                <w:szCs w:val="15"/>
              </w:rPr>
              <w:t xml:space="preserve">Dimension</w:t>
            </w:r>
          </w:p>
        </w:tc>
        <w:tc>
          <w:tcPr>
            <w:tcW w:type="dxa" w:w="164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5"/>
                <w:szCs w:val="15"/>
              </w:rPr>
              <w:t xml:space="preserve">1 Exploring</w:t>
            </w:r>
          </w:p>
        </w:tc>
        <w:tc>
          <w:tcPr>
            <w:tcW w:type="dxa" w:w="164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5"/>
                <w:szCs w:val="15"/>
              </w:rPr>
              <w:t xml:space="preserve">2 Experimenting</w:t>
            </w:r>
          </w:p>
        </w:tc>
        <w:tc>
          <w:tcPr>
            <w:tcW w:type="dxa" w:w="164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5"/>
                <w:szCs w:val="15"/>
              </w:rPr>
              <w:t xml:space="preserve">3 Operationalising</w:t>
            </w:r>
          </w:p>
        </w:tc>
        <w:tc>
          <w:tcPr>
            <w:tcW w:type="dxa" w:w="164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5"/>
                <w:szCs w:val="15"/>
              </w:rPr>
              <w:t xml:space="preserve">4 Scaling</w:t>
            </w:r>
          </w:p>
        </w:tc>
        <w:tc>
          <w:tcPr>
            <w:tcW w:type="dxa" w:w="164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5"/>
                <w:szCs w:val="15"/>
              </w:rPr>
              <w:t xml:space="preserve">5 Transforming</w:t>
            </w:r>
          </w:p>
        </w:tc>
      </w:tr>
      <w:tr>
        <w:tc>
          <w:tcPr>
            <w:tcW w:type="dxa" w:w="1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5"/>
                <w:szCs w:val="15"/>
              </w:rPr>
              <w:t xml:space="preserve">Strategy and value</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No AI strategy; individual curiosity</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Use cases chosen by enthusiasm; pilots without baselines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Strategy linked to business goals; business cases with baseline KPIs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Managed portfolio; value tracked quarterly; funding follows evidence</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AI integral to business model; continuous value capture</w:t>
            </w:r>
          </w:p>
        </w:tc>
      </w:tr>
      <w:tr>
        <w:tc>
          <w:tcPr>
            <w:tcW w:type="dxa" w:w="1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5"/>
                <w:szCs w:val="15"/>
              </w:rPr>
              <w:t xml:space="preserve">People and culture</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Isolated enthusiasts; fear or indifference</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Pilot teams; basic training for a few</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Central team or CoE; role-based literacy; executive sponsor</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Hub-and-spoke model; champions network; roles redesigned</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AI fluency is a core competency; human-agent teaming is normal</w:t>
            </w:r>
          </w:p>
        </w:tc>
      </w:tr>
      <w:tr>
        <w:tc>
          <w:tcPr>
            <w:tcW w:type="dxa" w:w="1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5"/>
                <w:szCs w:val="15"/>
              </w:rPr>
              <w:t xml:space="preserve">Governance and risk</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No policy; shadow AI</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Acceptable-use policy; case-by-case reviews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Risk-tiered reviews; AI inventory; named owners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Governance embedded in delivery; aligned to NIST/ISO; audit-ready</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Automated policy enforcement; continuous assurance; certified where needed</w:t>
            </w:r>
          </w:p>
        </w:tc>
      </w:tr>
      <w:tr>
        <w:tc>
          <w:tcPr>
            <w:tcW w:type="dxa" w:w="1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5"/>
                <w:szCs w:val="15"/>
              </w:rPr>
              <w:t xml:space="preserve">Data foundations</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Siloed data; quality unknown</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Data prepared manually for each pilot</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Governed, catalogued data for priority domains; access-controlled retrieval</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Reusable data products; semantic layer; lineage and quality monitoring</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AI-ready data by design; shared, real-time knowledge layer</w:t>
            </w:r>
          </w:p>
        </w:tc>
      </w:tr>
      <w:tr>
        <w:tc>
          <w:tcPr>
            <w:tcW w:type="dxa" w:w="1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5"/>
                <w:szCs w:val="15"/>
              </w:rPr>
              <w:t xml:space="preserve">Platform and agentic AI</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Consumer tools; no standard platform</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Point solutions; one model per pilot</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Standard platform with model gateway, guardrails, evaluation; assistive agents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Shared multi-model platform; agent and tool registries; supervised agents live</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Composable agent ecosystem; autonomous workflows within tested guardrails</w:t>
            </w:r>
          </w:p>
        </w:tc>
      </w:tr>
      <w:tr>
        <w:tc>
          <w:tcPr>
            <w:tcW w:type="dxa" w:w="1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5"/>
                <w:szCs w:val="15"/>
              </w:rPr>
              <w:t xml:space="preserve">Security</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AI not in the threat model</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Basic data-loss rules; vendor terms checked</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AI threat modelling; injection and output controls; red teaming pre-launch</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Agent identity and least privilege; runtime inspection; AI in SOC monitoring</w:t>
            </w:r>
          </w:p>
        </w:tc>
        <w:tc>
          <w:tcPr>
            <w:tcW w:type="dxa" w:w="164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5"/>
                <w:szCs w:val="15"/>
              </w:rPr>
              <w:t xml:space="preserve">Continuous adversarial testing; automated containment</w:t>
            </w:r>
          </w:p>
        </w:tc>
      </w:tr>
      <w:tr>
        <w:tc>
          <w:tcPr>
            <w:tcW w:type="dxa" w:w="1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5"/>
                <w:szCs w:val="15"/>
              </w:rPr>
              <w:t xml:space="preserve">Operations and observability</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No monitoring</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Manual spot checks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Evaluation sets; tracing; cost and quality dashboards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Evaluation gates in CI/CD; online evaluation; incident process; AI FinOps</w:t>
            </w:r>
          </w:p>
        </w:tc>
        <w:tc>
          <w:tcPr>
            <w:tcW w:type="dxa" w:w="164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5"/>
                <w:szCs w:val="15"/>
              </w:rPr>
              <w:t xml:space="preserve">Service-level objectives for quality, safety and cost; self-improving loop</w:t>
            </w:r>
          </w:p>
        </w:tc>
      </w:tr>
    </w:tbl>
    <w:p>
      <w:pPr>
        <w:spacing w:after="120"/>
      </w:pPr>
    </w:p>
    <w:p>
      <w:pPr>
        <w:pStyle w:val="Heading2"/>
      </w:pPr>
      <w:r>
        <w:t xml:space="preserve">2.3 Interpreting results and setting a target</w:t>
      </w:r>
    </w:p>
    <w:p>
      <w:pPr>
        <w:pStyle w:val="ListParagraph"/>
        <w:numPr>
          <w:ilvl w:val="0"/>
          <w:numId w:val="3"/>
        </w:numPr>
        <w:spacing w:after="60"/>
      </w:pPr>
      <w:r>
        <w:rPr>
          <w:b w:val="false"/>
          <w:bCs w:val="false"/>
        </w:rPr>
        <w:t xml:space="preserve"/>
      </w:r>
      <w:r>
        <w:rPr>
          <w:b/>
          <w:bCs/>
        </w:rPr>
        <w:t xml:space="preserve">Use the weakest link, not the average.</w:t>
      </w:r>
      <w:r>
        <w:rPr>
          <w:b w:val="false"/>
          <w:bCs w:val="false"/>
        </w:rPr>
        <w:t xml:space="preserve"> Governance, Data and Security act as ceilings: an organisation cannot sustainably operate AI above its lowest score in these three dimensions. Report the overall level as the minimum of these, alongside the full profile.</w:t>
      </w:r>
    </w:p>
    <w:p>
      <w:pPr>
        <w:pStyle w:val="ListParagraph"/>
        <w:numPr>
          <w:ilvl w:val="0"/>
          <w:numId w:val="3"/>
        </w:numPr>
        <w:spacing w:after="60"/>
      </w:pPr>
      <w:r>
        <w:rPr>
          <w:b w:val="false"/>
          <w:bCs w:val="false"/>
        </w:rPr>
        <w:t xml:space="preserve"/>
      </w:r>
      <w:r>
        <w:rPr>
          <w:b/>
          <w:bCs/>
        </w:rPr>
        <w:t xml:space="preserve">Set a 12-month target of one level up in most dimensions.</w:t>
      </w:r>
      <w:r>
        <w:rPr>
          <w:b w:val="false"/>
          <w:bCs w:val="false"/>
        </w:rPr>
        <w:t xml:space="preserve"> Jumping two levels in a year is rare, and usually happens only with strong sponsorship and a narrow scope.</w:t>
      </w:r>
    </w:p>
    <w:p>
      <w:pPr>
        <w:pStyle w:val="ListParagraph"/>
        <w:numPr>
          <w:ilvl w:val="0"/>
          <w:numId w:val="3"/>
        </w:numPr>
        <w:spacing w:after="60"/>
      </w:pPr>
      <w:r>
        <w:rPr>
          <w:b w:val="false"/>
          <w:bCs w:val="false"/>
        </w:rPr>
        <w:t xml:space="preserve"/>
      </w:r>
      <w:r>
        <w:rPr>
          <w:b/>
          <w:bCs/>
        </w:rPr>
        <w:t xml:space="preserve">Prioritise gaps by the value they unlock.</w:t>
      </w:r>
      <w:r>
        <w:rPr>
          <w:b w:val="false"/>
          <w:bCs w:val="false"/>
        </w:rPr>
        <w:t xml:space="preserve"> A gap matters if it blocks a high-value use case in the portfolio (Section 3). Close those gaps first.</w:t>
      </w:r>
    </w:p>
    <w:p>
      <w:pPr>
        <w:pStyle w:val="ListParagraph"/>
        <w:numPr>
          <w:ilvl w:val="0"/>
          <w:numId w:val="3"/>
        </w:numPr>
        <w:spacing w:after="60"/>
      </w:pPr>
      <w:r>
        <w:rPr>
          <w:b w:val="false"/>
          <w:bCs w:val="false"/>
        </w:rPr>
        <w:t xml:space="preserve"/>
      </w:r>
      <w:r>
        <w:rPr>
          <w:b/>
          <w:bCs/>
        </w:rPr>
        <w:t xml:space="preserve">Repeat every six months.</w:t>
      </w:r>
      <w:r>
        <w:rPr>
          <w:b w:val="false"/>
          <w:bCs w:val="false"/>
        </w:rPr>
        <w:t xml:space="preserve"> Track movement on the same rubric and share it with the steering group as part of value reporting.</w:t>
      </w:r>
    </w:p>
    <w:p>
      <w:pPr>
        <w:pStyle w:val="Heading3"/>
      </w:pPr>
      <w:r>
        <w:t xml:space="preserve">Common maturity profiles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600"/>
        <w:gridCol w:w="3838"/>
      </w:tblGrid>
      <w:tr>
        <w:trPr>
          <w:tblHeader/>
        </w:trPr>
        <w:tc>
          <w:tcPr>
            <w:tcW w:type="dxa" w:w="2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Profile</w:t>
            </w:r>
          </w:p>
        </w:tc>
        <w:tc>
          <w:tcPr>
            <w:tcW w:type="dxa" w:w="3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What it looks like</w:t>
            </w:r>
          </w:p>
        </w:tc>
        <w:tc>
          <w:tcPr>
            <w:tcW w:type="dxa" w:w="38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What to do next</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Pilot purgatory</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High strategy and experimentation; low data, operations and governance. Dozens of proofs of concept, few in production.</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Stop new pilots; pick three to five with the best value and data readiness; build the production path once.</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Compliance freeze</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High governance; low adoption. Every request goes to a committee; teams work around the process.</w:t>
            </w:r>
          </w:p>
        </w:tc>
        <w:tc>
          <w:tcPr>
            <w:tcW w:type="dxa" w:w="3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Introduce risk tiers with a fast lane for low-risk use; publish approved patterns.</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Shadow AI</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High individual use; low governance and security. Public tools used with company data.</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Provide a sanctioned, easy alternative; acceptable-use policy; discovery and data-loss controls.</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Tech-first</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High platform; low people and value. A capable platform that few people use.</w:t>
            </w:r>
          </w:p>
        </w:tc>
        <w:tc>
          <w:tcPr>
            <w:tcW w:type="dxa" w:w="3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Run ADKAR for priority groups; appoint business owners; measure adoption and value.</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Agent-curious</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Strong at assistive AI; starting with agents without identity, permissions or tracing.</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Build the agent control plane (Section 7.6) before granting write access to systems.</w:t>
            </w:r>
          </w:p>
        </w:tc>
      </w:tr>
    </w:tbl>
    <w:p>
      <w:pPr>
        <w:spacing w:after="120"/>
      </w:pPr>
    </w:p>
    <w:p>
      <w:pPr>
        <w:pStyle w:val="Heading1"/>
      </w:pPr>
      <w:r>
        <w:t xml:space="preserve">3. Business perspective: strategy and value realisation</w:t>
      </w:r>
    </w:p>
    <w:p>
      <w:r>
        <w:rPr>
          <w:b w:val="false"/>
          <w:bCs w:val="false"/>
        </w:rPr>
        <w:t xml:space="preserve">The Business perspective makes sure AI investment is driven by business outcomes and that value is planned, measured and captured, not assumed. It is also where cost is managed: for generative and agentic AI, cost scales with usage in ways that traditional software does not.</w:t>
      </w:r>
    </w:p>
    <w:p>
      <w:pPr>
        <w:pStyle w:val="Heading2"/>
      </w:pPr>
      <w:r>
        <w:t xml:space="preserve">3.1 Start from outcomes, not features</w:t>
      </w:r>
    </w:p>
    <w:p>
      <w:r>
        <w:rPr>
          <w:b w:val="false"/>
          <w:bCs w:val="false"/>
        </w:rPr>
        <w:t xml:space="preserve">Begin with three to five strategic objectives the organisation already prioritises, then map the workflows where AI can move those objectives measurably. Each candidate use case should name a business owner (not an IT owner), a target metric and a baseline.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3700"/>
        <w:gridCol w:w="3938"/>
      </w:tblGrid>
      <w:tr>
        <w:trPr>
          <w:tblHeader/>
        </w:trPr>
        <w:tc>
          <w:tcPr>
            <w:tcW w:type="dxa" w:w="2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Value lever</w:t>
            </w:r>
          </w:p>
        </w:tc>
        <w:tc>
          <w:tcPr>
            <w:tcW w:type="dxa" w:w="3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Typical AI contribution</w:t>
            </w:r>
          </w:p>
        </w:tc>
        <w:tc>
          <w:tcPr>
            <w:tcW w:type="dxa" w:w="39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Example outcome metric</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Revenue growth</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Personalisation, sales assistance, new AI-enabled products and services</w:t>
            </w:r>
          </w:p>
        </w:tc>
        <w:tc>
          <w:tcPr>
            <w:tcW w:type="dxa" w:w="3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Conversion rate, average order value, new product revenue</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Productivity and cost</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Automating document-heavy work, code generation, agent-handled service requests</w:t>
            </w:r>
          </w:p>
        </w:tc>
        <w:tc>
          <w:tcPr>
            <w:tcW w:type="dxa" w:w="3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Cost per transaction, cycle time, cases handled per FTE</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Customer experience</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Faster, more accurate answers; 24/7 self-service; proactive service</w:t>
            </w:r>
          </w:p>
        </w:tc>
        <w:tc>
          <w:tcPr>
            <w:tcW w:type="dxa" w:w="3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CSAT/NPS, first-contact resolution, time to resolution</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Risk and quality</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Fraud detection, compliance checking, error reduction</w:t>
            </w:r>
          </w:p>
        </w:tc>
        <w:tc>
          <w:tcPr>
            <w:tcW w:type="dxa" w:w="3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Loss rate, audit findings, defect rate</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Speed and innovation</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Faster research, design, testing and decision cycles</w:t>
            </w:r>
          </w:p>
        </w:tc>
        <w:tc>
          <w:tcPr>
            <w:tcW w:type="dxa" w:w="3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Time to market, experiments per quarter</w:t>
            </w:r>
          </w:p>
        </w:tc>
      </w:tr>
    </w:tbl>
    <w:p>
      <w:pPr>
        <w:spacing w:after="120"/>
      </w:pPr>
    </w:p>
    <w:p>
      <w:pPr>
        <w:pStyle w:val="Heading2"/>
      </w:pPr>
      <w:r>
        <w:t xml:space="preserve">3.2 Prioritising use cases</w:t>
      </w:r>
    </w:p>
    <w:p>
      <w:r>
        <w:rPr>
          <w:b w:val="false"/>
          <w:bCs w:val="false"/>
        </w:rPr>
        <w:t xml:space="preserve">Score each candidate on four criteria from 1 (low) to 5 (high). Risk is scored inversely (5 = lowest risk). Use the canvas in Appendix B to capture the detail.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4000"/>
        <w:gridCol w:w="3938"/>
      </w:tblGrid>
      <w:tr>
        <w:trPr>
          <w:tblHeader/>
        </w:trPr>
        <w:tc>
          <w:tcPr>
            <w:tcW w:type="dxa" w:w="1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Criterion</w:t>
            </w:r>
          </w:p>
        </w:tc>
        <w:tc>
          <w:tcPr>
            <w:tcW w:type="dxa" w:w="4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Questions to ask</w:t>
            </w:r>
          </w:p>
        </w:tc>
        <w:tc>
          <w:tcPr>
            <w:tcW w:type="dxa" w:w="39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8"/>
                <w:szCs w:val="18"/>
              </w:rPr>
              <w:t xml:space="preserve">Evidence</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Value</w:t>
            </w:r>
          </w:p>
        </w:tc>
        <w:tc>
          <w:tcPr>
            <w:tcW w:type="dxa" w:w="4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How much does this move a strategic objective? How many people or transactions does it touch?</w:t>
            </w:r>
          </w:p>
        </w:tc>
        <w:tc>
          <w:tcPr>
            <w:tcW w:type="dxa" w:w="3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Baseline metric, volume, unit value</w:t>
            </w:r>
          </w:p>
        </w:tc>
      </w:tr>
      <w:tr>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Feasibility</w:t>
            </w:r>
          </w:p>
        </w:tc>
        <w:tc>
          <w:tcPr>
            <w:tcW w:type="dxa" w:w="4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Is the data available, accessible and of sufficient quality? Do we have the skills and integrations?</w:t>
            </w:r>
          </w:p>
        </w:tc>
        <w:tc>
          <w:tcPr>
            <w:tcW w:type="dxa" w:w="3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Data readiness check (Section 6); architecture review</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8"/>
                <w:szCs w:val="18"/>
              </w:rPr>
              <w:t xml:space="preserve">Risk (inverse)</w:t>
            </w:r>
          </w:p>
        </w:tc>
        <w:tc>
          <w:tcPr>
            <w:tcW w:type="dxa" w:w="4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What is the risk tier? How autonomous is it? Are actions reversible? Are people affected by decisions?</w:t>
            </w:r>
          </w:p>
        </w:tc>
        <w:tc>
          <w:tcPr>
            <w:tcW w:type="dxa" w:w="3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8"/>
                <w:szCs w:val="18"/>
              </w:rPr>
              <w:t xml:space="preserve">Risk tier (Section 5.7); agent tier (Appendix C)</w:t>
            </w:r>
          </w:p>
        </w:tc>
      </w:tr>
      <w:tr>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8"/>
                <w:szCs w:val="18"/>
              </w:rPr>
              <w:t xml:space="preserve">Time to value</w:t>
            </w:r>
          </w:p>
        </w:tc>
        <w:tc>
          <w:tcPr>
            <w:tcW w:type="dxa" w:w="4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Can a production-quality first release reach real users within 90 days?</w:t>
            </w:r>
          </w:p>
        </w:tc>
        <w:tc>
          <w:tcPr>
            <w:tcW w:type="dxa" w:w="3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8"/>
                <w:szCs w:val="18"/>
              </w:rPr>
              <w:t xml:space="preserve">Delivery plan, dependencies</w:t>
            </w:r>
          </w:p>
        </w:tc>
      </w:tr>
    </w:tbl>
    <w:p>
      <w:pPr>
        <w:spacing w:after="120"/>
      </w:pPr>
    </w:p>
    <w:p>
      <w:r>
        <w:rPr>
          <w:b w:val="false"/>
          <w:bCs w:val="false"/>
        </w:rPr>
        <w:t xml:space="preserve">Plot the results to sort candidates into six categories: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c>
          <w:tcPr>
            <w:tcW w:type="dxa" w:w="3212"/>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Quick wins</w:t>
            </w:r>
            <w:r>
              <w:rPr>
                <w:b w:val="false"/>
                <w:bCs w:val="false"/>
                <w:sz w:val="17"/>
                <w:szCs w:val="17"/>
              </w:rPr>
              <w:t xml:space="preserve"/>
            </w:r>
          </w:p>
          <w:p>
            <w:pPr>
              <w:spacing w:after="40" w:line="252"/>
            </w:pPr>
            <w:r>
              <w:rPr>
                <w:b w:val="false"/>
                <w:bCs w:val="false"/>
                <w:sz w:val="17"/>
                <w:szCs w:val="17"/>
              </w:rPr>
              <w:t xml:space="preserve">High value, high feasibility, low risk. Deliver first to build momentum and credibility.</w:t>
            </w:r>
          </w:p>
        </w:tc>
        <w:tc>
          <w:tcPr>
            <w:tcW w:type="dxa" w:w="3213"/>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Strategic bets</w:t>
            </w:r>
            <w:r>
              <w:rPr>
                <w:b w:val="false"/>
                <w:bCs w:val="false"/>
                <w:sz w:val="17"/>
                <w:szCs w:val="17"/>
              </w:rPr>
              <w:t xml:space="preserve"/>
            </w:r>
          </w:p>
          <w:p>
            <w:pPr>
              <w:spacing w:after="40" w:line="252"/>
            </w:pPr>
            <w:r>
              <w:rPr>
                <w:b w:val="false"/>
                <w:bCs w:val="false"/>
                <w:sz w:val="17"/>
                <w:szCs w:val="17"/>
              </w:rPr>
              <w:t xml:space="preserve">High value but lower feasibility or higher risk. Fund foundations (data, controls) alongside them.</w:t>
            </w:r>
          </w:p>
        </w:tc>
        <w:tc>
          <w:tcPr>
            <w:tcW w:type="dxa" w:w="3213"/>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Foundations first</w:t>
            </w:r>
            <w:r>
              <w:rPr>
                <w:b w:val="false"/>
                <w:bCs w:val="false"/>
                <w:sz w:val="17"/>
                <w:szCs w:val="17"/>
              </w:rPr>
              <w:t xml:space="preserve"/>
            </w:r>
          </w:p>
          <w:p>
            <w:pPr>
              <w:spacing w:after="40" w:line="252"/>
            </w:pPr>
            <w:r>
              <w:rPr>
                <w:b w:val="false"/>
                <w:bCs w:val="false"/>
                <w:sz w:val="17"/>
                <w:szCs w:val="17"/>
              </w:rPr>
              <w:t xml:space="preserve">Valuable but blocked by data or platform gaps. Turn the gap into a platform investment.</w:t>
            </w:r>
          </w:p>
        </w:tc>
      </w:tr>
      <w:tr>
        <w:tc>
          <w:tcPr>
            <w:tcW w:type="dxa" w:w="3212"/>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Park</w:t>
            </w:r>
            <w:r>
              <w:rPr>
                <w:b w:val="false"/>
                <w:bCs w:val="false"/>
                <w:sz w:val="17"/>
                <w:szCs w:val="17"/>
              </w:rPr>
              <w:t xml:space="preserve"/>
            </w:r>
          </w:p>
          <w:p>
            <w:pPr>
              <w:spacing w:after="40" w:line="252"/>
            </w:pPr>
            <w:r>
              <w:rPr>
                <w:b w:val="false"/>
                <w:bCs w:val="false"/>
                <w:sz w:val="17"/>
                <w:szCs w:val="17"/>
              </w:rPr>
              <w:t xml:space="preserve">Low value or very high risk relative to value. Revisit when maturity improves.</w:t>
            </w:r>
          </w:p>
        </w:tc>
        <w:tc>
          <w:tcPr>
            <w:tcW w:type="dxa" w:w="3213"/>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Productivity layer</w:t>
            </w:r>
            <w:r>
              <w:rPr>
                <w:b w:val="false"/>
                <w:bCs w:val="false"/>
                <w:sz w:val="17"/>
                <w:szCs w:val="17"/>
              </w:rPr>
              <w:t xml:space="preserve"/>
            </w:r>
          </w:p>
          <w:p>
            <w:pPr>
              <w:spacing w:after="40" w:line="252"/>
            </w:pPr>
            <w:r>
              <w:rPr>
                <w:b w:val="false"/>
                <w:bCs w:val="false"/>
                <w:sz w:val="17"/>
                <w:szCs w:val="17"/>
              </w:rPr>
              <w:t xml:space="preserve">Broad assistant and copilot use. Measure adoption and reuse of time, not just licences.</w:t>
            </w:r>
          </w:p>
        </w:tc>
        <w:tc>
          <w:tcPr>
            <w:tcW w:type="dxa" w:w="3213"/>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Agentic candidates</w:t>
            </w:r>
            <w:r>
              <w:rPr>
                <w:b w:val="false"/>
                <w:bCs w:val="false"/>
                <w:sz w:val="17"/>
                <w:szCs w:val="17"/>
              </w:rPr>
              <w:t xml:space="preserve"/>
            </w:r>
          </w:p>
          <w:p>
            <w:pPr>
              <w:spacing w:after="40" w:line="252"/>
            </w:pPr>
            <w:r>
              <w:rPr>
                <w:b w:val="false"/>
                <w:bCs w:val="false"/>
                <w:sz w:val="17"/>
                <w:szCs w:val="17"/>
              </w:rPr>
              <w:t xml:space="preserve">Multi-step, rules-heavy, high-volume workflows with clear success criteria and reversible actions.</w:t>
            </w:r>
          </w:p>
        </w:tc>
      </w:tr>
    </w:tbl>
    <w:p>
      <w:pPr>
        <w:spacing w:after="120"/>
      </w:pPr>
    </w:p>
    <w:p>
      <w:pPr>
        <w:pStyle w:val="Heading2"/>
      </w:pPr>
      <w:r>
        <w:t xml:space="preserve">3.3 Managing the portfolio</w:t>
      </w:r>
    </w:p>
    <w:p>
      <w:r>
        <w:rPr>
          <w:b w:val="false"/>
          <w:bCs w:val="false"/>
        </w:rPr>
        <w:t xml:space="preserve">Treat AI as a portfolio, not a list of projects. A balanced portfolio typically mixes three horizons, with funding released in stages as evidence accumulates.</w:t>
      </w:r>
    </w:p>
    <w:p>
      <w:pPr>
        <w:pStyle w:val="ListParagraph"/>
        <w:numPr>
          <w:ilvl w:val="0"/>
          <w:numId w:val="3"/>
        </w:numPr>
        <w:spacing w:after="60"/>
      </w:pPr>
      <w:r>
        <w:rPr>
          <w:b w:val="false"/>
          <w:bCs w:val="false"/>
        </w:rPr>
        <w:t xml:space="preserve"/>
      </w:r>
      <w:r>
        <w:rPr>
          <w:b/>
          <w:bCs/>
        </w:rPr>
        <w:t xml:space="preserve">Improve:</w:t>
      </w:r>
      <w:r>
        <w:rPr>
          <w:b w:val="false"/>
          <w:bCs w:val="false"/>
        </w:rPr>
        <w:t xml:space="preserve"> productivity and assistive AI across the workforce. Fast, low risk and broad; value comes from adoption at scale.</w:t>
      </w:r>
    </w:p>
    <w:p>
      <w:pPr>
        <w:pStyle w:val="ListParagraph"/>
        <w:numPr>
          <w:ilvl w:val="0"/>
          <w:numId w:val="3"/>
        </w:numPr>
        <w:spacing w:after="60"/>
      </w:pPr>
      <w:r>
        <w:rPr>
          <w:b w:val="false"/>
          <w:bCs w:val="false"/>
        </w:rPr>
        <w:t xml:space="preserve"/>
      </w:r>
      <w:r>
        <w:rPr>
          <w:b/>
          <w:bCs/>
        </w:rPr>
        <w:t xml:space="preserve">Transform:</w:t>
      </w:r>
      <w:r>
        <w:rPr>
          <w:b w:val="false"/>
          <w:bCs w:val="false"/>
        </w:rPr>
        <w:t xml:space="preserve"> redesigning end-to-end processes, often with agents. Higher value and higher effort; needs process owners and change management.</w:t>
      </w:r>
    </w:p>
    <w:p>
      <w:pPr>
        <w:pStyle w:val="ListParagraph"/>
        <w:numPr>
          <w:ilvl w:val="0"/>
          <w:numId w:val="3"/>
        </w:numPr>
        <w:spacing w:after="60"/>
      </w:pPr>
      <w:r>
        <w:rPr>
          <w:b w:val="false"/>
          <w:bCs w:val="false"/>
        </w:rPr>
        <w:t xml:space="preserve"/>
      </w:r>
      <w:r>
        <w:rPr>
          <w:b/>
          <w:bCs/>
        </w:rPr>
        <w:t xml:space="preserve">Invent:</w:t>
      </w:r>
      <w:r>
        <w:rPr>
          <w:b w:val="false"/>
          <w:bCs w:val="false"/>
        </w:rPr>
        <w:t xml:space="preserve"> new AI-enabled products, services or business models. Highest uncertainty; fund as staged experiments with clear stop criteria.</w:t>
      </w:r>
    </w:p>
    <w:p>
      <w:r>
        <w:rPr>
          <w:b w:val="false"/>
          <w:bCs w:val="false"/>
        </w:rPr>
        <w:t xml:space="preserve">Stage-gate funding works well: a small discovery budget, a larger build budget released after a successful pilot with measured results, and scale funding released only when value is verified against the baseline. Make stopping a project a normal, positive outcome when the evidence does not support it.</w:t>
      </w:r>
    </w:p>
    <w:p>
      <w:pPr>
        <w:pStyle w:val="Heading2"/>
      </w:pPr>
      <w:r>
        <w:t xml:space="preserve">3.4 Value realisation framework</w:t>
      </w:r>
    </w:p>
    <w:p>
      <w:r>
        <w:rPr>
          <w:b w:val="false"/>
          <w:bCs w:val="false"/>
        </w:rPr>
        <w:t xml:space="preserve">Value realisation is the discipline of turning projected benefits into measured, banked results. It runs from the business case through to post-launch review.</w:t>
      </w:r>
    </w:p>
    <w:p>
      <w:pPr>
        <w:pStyle w:val="ListParagraph"/>
        <w:numPr>
          <w:ilvl w:val="0"/>
          <w:numId w:val="5"/>
        </w:numPr>
        <w:spacing w:after="60"/>
      </w:pPr>
      <w:r>
        <w:rPr>
          <w:b w:val="false"/>
          <w:bCs w:val="false"/>
        </w:rPr>
        <w:t xml:space="preserve"/>
      </w:r>
      <w:r>
        <w:rPr>
          <w:b/>
          <w:bCs/>
        </w:rPr>
        <w:t xml:space="preserve">Value hypothesis:</w:t>
      </w:r>
      <w:r>
        <w:rPr>
          <w:b w:val="false"/>
          <w:bCs w:val="false"/>
        </w:rPr>
        <w:t xml:space="preserve"> what will change, for whom, by how much and by when. Name one headline KPI per use case.</w:t>
      </w:r>
    </w:p>
    <w:p>
      <w:pPr>
        <w:pStyle w:val="ListParagraph"/>
        <w:numPr>
          <w:ilvl w:val="0"/>
          <w:numId w:val="5"/>
        </w:numPr>
        <w:spacing w:after="60"/>
      </w:pPr>
      <w:r>
        <w:rPr>
          <w:b w:val="false"/>
          <w:bCs w:val="false"/>
        </w:rPr>
        <w:t xml:space="preserve"/>
      </w:r>
      <w:r>
        <w:rPr>
          <w:b/>
          <w:bCs/>
        </w:rPr>
        <w:t xml:space="preserve">Baseline:</w:t>
      </w:r>
      <w:r>
        <w:rPr>
          <w:b w:val="false"/>
          <w:bCs w:val="false"/>
        </w:rPr>
        <w:t xml:space="preserve"> measure the current state before launch. Without a baseline, value cannot be proven.</w:t>
      </w:r>
    </w:p>
    <w:p>
      <w:pPr>
        <w:pStyle w:val="ListParagraph"/>
        <w:numPr>
          <w:ilvl w:val="0"/>
          <w:numId w:val="5"/>
        </w:numPr>
        <w:spacing w:after="60"/>
      </w:pPr>
      <w:r>
        <w:rPr>
          <w:b w:val="false"/>
          <w:bCs w:val="false"/>
        </w:rPr>
        <w:t xml:space="preserve"/>
      </w:r>
      <w:r>
        <w:rPr>
          <w:b/>
          <w:bCs/>
        </w:rPr>
        <w:t xml:space="preserve">Leading indicators:</w:t>
      </w:r>
      <w:r>
        <w:rPr>
          <w:b w:val="false"/>
          <w:bCs w:val="false"/>
        </w:rPr>
        <w:t xml:space="preserve"> adoption, usage depth, task success rate and quality scores that predict value early.</w:t>
      </w:r>
    </w:p>
    <w:p>
      <w:pPr>
        <w:pStyle w:val="ListParagraph"/>
        <w:numPr>
          <w:ilvl w:val="0"/>
          <w:numId w:val="5"/>
        </w:numPr>
        <w:spacing w:after="60"/>
      </w:pPr>
      <w:r>
        <w:rPr>
          <w:b w:val="false"/>
          <w:bCs w:val="false"/>
        </w:rPr>
        <w:t xml:space="preserve"/>
      </w:r>
      <w:r>
        <w:rPr>
          <w:b/>
          <w:bCs/>
        </w:rPr>
        <w:t xml:space="preserve">Lagging outcomes:</w:t>
      </w:r>
      <w:r>
        <w:rPr>
          <w:b w:val="false"/>
          <w:bCs w:val="false"/>
        </w:rPr>
        <w:t xml:space="preserve"> financial and operational results such as cost per case, revenue and cycle time.</w:t>
      </w:r>
    </w:p>
    <w:p>
      <w:pPr>
        <w:pStyle w:val="ListParagraph"/>
        <w:numPr>
          <w:ilvl w:val="0"/>
          <w:numId w:val="5"/>
        </w:numPr>
        <w:spacing w:after="60"/>
      </w:pPr>
      <w:r>
        <w:rPr>
          <w:b w:val="false"/>
          <w:bCs w:val="false"/>
        </w:rPr>
        <w:t xml:space="preserve"/>
      </w:r>
      <w:r>
        <w:rPr>
          <w:b/>
          <w:bCs/>
        </w:rPr>
        <w:t xml:space="preserve">Attribution:</w:t>
      </w:r>
      <w:r>
        <w:rPr>
          <w:b w:val="false"/>
          <w:bCs w:val="false"/>
        </w:rPr>
        <w:t xml:space="preserve"> use control groups, phased rollouts or before-and-after comparisons to separate AI impact from other changes.</w:t>
      </w:r>
    </w:p>
    <w:p>
      <w:pPr>
        <w:pStyle w:val="ListParagraph"/>
        <w:numPr>
          <w:ilvl w:val="0"/>
          <w:numId w:val="5"/>
        </w:numPr>
        <w:spacing w:after="60"/>
      </w:pPr>
      <w:r>
        <w:rPr>
          <w:b w:val="false"/>
          <w:bCs w:val="false"/>
        </w:rPr>
        <w:t xml:space="preserve"/>
      </w:r>
      <w:r>
        <w:rPr>
          <w:b/>
          <w:bCs/>
        </w:rPr>
        <w:t xml:space="preserve">Capture:</w:t>
      </w:r>
      <w:r>
        <w:rPr>
          <w:b w:val="false"/>
          <w:bCs w:val="false"/>
        </w:rPr>
        <w:t xml:space="preserve"> decide how freed capacity is used (redeployed, absorbing growth, or reduced cost). Time saved is not value until it is used.</w:t>
      </w:r>
    </w:p>
    <w:p>
      <w:pPr>
        <w:pStyle w:val="ListParagraph"/>
        <w:numPr>
          <w:ilvl w:val="0"/>
          <w:numId w:val="5"/>
        </w:numPr>
        <w:spacing w:after="60"/>
      </w:pPr>
      <w:r>
        <w:rPr>
          <w:b w:val="false"/>
          <w:bCs w:val="false"/>
        </w:rPr>
        <w:t xml:space="preserve"/>
      </w:r>
      <w:r>
        <w:rPr>
          <w:b/>
          <w:bCs/>
        </w:rPr>
        <w:t xml:space="preserve">Review cadence:</w:t>
      </w:r>
      <w:r>
        <w:rPr>
          <w:b w:val="false"/>
          <w:bCs w:val="false"/>
        </w:rPr>
        <w:t xml:space="preserve"> report monthly for new launches and quarterly at portfolio level; feed results into funding decisions.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3900"/>
        <w:gridCol w:w="3638"/>
      </w:tblGrid>
      <w:tr>
        <w:trPr>
          <w:tblHeader/>
        </w:trPr>
        <w:tc>
          <w:tcPr>
            <w:tcW w:type="dxa" w:w="21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KPI category</w:t>
            </w:r>
          </w:p>
        </w:tc>
        <w:tc>
          <w:tcPr>
            <w:tcW w:type="dxa" w:w="39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Example KPIs</w:t>
            </w:r>
          </w:p>
        </w:tc>
        <w:tc>
          <w:tcPr>
            <w:tcW w:type="dxa" w:w="36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Measurement notes</w:t>
            </w:r>
          </w:p>
        </w:tc>
      </w:tr>
      <w:tr>
        <w:tc>
          <w:tcPr>
            <w:tcW w:type="dxa" w:w="2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Adoption</w:t>
            </w:r>
          </w:p>
        </w:tc>
        <w:tc>
          <w:tcPr>
            <w:tcW w:type="dxa" w:w="3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Weekly active users; percentage of target users; tasks per user; retention after 90 days</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The first signal of value; segment by role and team</w:t>
            </w:r>
          </w:p>
        </w:tc>
      </w:tr>
      <w:tr>
        <w:tc>
          <w:tcPr>
            <w:tcW w:type="dxa" w:w="2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Efficiency</w:t>
            </w:r>
          </w:p>
        </w:tc>
        <w:tc>
          <w:tcPr>
            <w:tcW w:type="dxa" w:w="3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Handling time; cycle time; cost per task; automation or containment rate</w:t>
            </w:r>
          </w:p>
        </w:tc>
        <w:tc>
          <w:tcPr>
            <w:tcW w:type="dxa" w:w="3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Compare with a control group or baseline period</w:t>
            </w:r>
          </w:p>
        </w:tc>
      </w:tr>
      <w:tr>
        <w:tc>
          <w:tcPr>
            <w:tcW w:type="dxa" w:w="2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Quality</w:t>
            </w:r>
          </w:p>
        </w:tc>
        <w:tc>
          <w:tcPr>
            <w:tcW w:type="dxa" w:w="3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Accuracy; error and rework rates; escalation rate; groundedness score</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Combine automated evaluation with human sampling</w:t>
            </w:r>
          </w:p>
        </w:tc>
      </w:tr>
      <w:tr>
        <w:tc>
          <w:tcPr>
            <w:tcW w:type="dxa" w:w="2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Business outcome</w:t>
            </w:r>
          </w:p>
        </w:tc>
        <w:tc>
          <w:tcPr>
            <w:tcW w:type="dxa" w:w="3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Revenue, margin, NPS, loss rate, working capital</w:t>
            </w:r>
          </w:p>
        </w:tc>
        <w:tc>
          <w:tcPr>
            <w:tcW w:type="dxa" w:w="3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Agree the attribution method with finance before launch</w:t>
            </w:r>
          </w:p>
        </w:tc>
      </w:tr>
      <w:tr>
        <w:tc>
          <w:tcPr>
            <w:tcW w:type="dxa" w:w="2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Risk and trust</w:t>
            </w:r>
          </w:p>
        </w:tc>
        <w:tc>
          <w:tcPr>
            <w:tcW w:type="dxa" w:w="3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Incidents; guardrail interventions; complaint rates; user trust scores</w:t>
            </w:r>
          </w:p>
        </w:tc>
        <w:tc>
          <w:tcPr>
            <w:tcW w:type="dxa" w:w="3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 value case is not complete without the risk view</w:t>
            </w:r>
          </w:p>
        </w:tc>
      </w:tr>
    </w:tbl>
    <w:p>
      <w:pPr>
        <w:spacing w:after="120"/>
      </w:pPr>
    </w:p>
    <w:p>
      <w:pPr>
        <w:pStyle w:val="Heading2"/>
      </w:pPr>
      <w:r>
        <w:t xml:space="preserve">3.5 AI FinOps: cost and unit economics</w:t>
      </w:r>
    </w:p>
    <w:p>
      <w:r>
        <w:rPr>
          <w:b w:val="false"/>
          <w:bCs w:val="false"/>
        </w:rPr>
        <w:t xml:space="preserve">Generative and agentic AI costs are driven by usage (tokens, calls, tool invocations and compute), so they grow with success. Agents can multiply cost because one user request may trigger many model calls. Manage cost from the design stage:</w:t>
      </w:r>
    </w:p>
    <w:p>
      <w:pPr>
        <w:pStyle w:val="ListParagraph"/>
        <w:numPr>
          <w:ilvl w:val="0"/>
          <w:numId w:val="3"/>
        </w:numPr>
        <w:spacing w:after="60"/>
      </w:pPr>
      <w:r>
        <w:rPr>
          <w:b w:val="false"/>
          <w:bCs w:val="false"/>
        </w:rPr>
        <w:t xml:space="preserve"/>
      </w:r>
      <w:r>
        <w:rPr>
          <w:b/>
          <w:bCs/>
        </w:rPr>
        <w:t xml:space="preserve">Measure unit economics:</w:t>
      </w:r>
      <w:r>
        <w:rPr>
          <w:b w:val="false"/>
          <w:bCs w:val="false"/>
        </w:rPr>
        <w:t xml:space="preserve"> cost per resolved case, per document processed or per completed task, compared with the value of that unit.</w:t>
      </w:r>
    </w:p>
    <w:p>
      <w:pPr>
        <w:pStyle w:val="ListParagraph"/>
        <w:numPr>
          <w:ilvl w:val="0"/>
          <w:numId w:val="3"/>
        </w:numPr>
        <w:spacing w:after="60"/>
      </w:pPr>
      <w:r>
        <w:rPr>
          <w:b w:val="false"/>
          <w:bCs w:val="false"/>
        </w:rPr>
        <w:t xml:space="preserve"/>
      </w:r>
      <w:r>
        <w:rPr>
          <w:b/>
          <w:bCs/>
        </w:rPr>
        <w:t xml:space="preserve">Right-size models:</w:t>
      </w:r>
      <w:r>
        <w:rPr>
          <w:b w:val="false"/>
          <w:bCs w:val="false"/>
        </w:rPr>
        <w:t xml:space="preserve"> use the smallest model that meets the quality bar; route simple requests to cheaper models and reserve larger models for complex reasoning.</w:t>
      </w:r>
    </w:p>
    <w:p>
      <w:pPr>
        <w:pStyle w:val="ListParagraph"/>
        <w:numPr>
          <w:ilvl w:val="0"/>
          <w:numId w:val="3"/>
        </w:numPr>
        <w:spacing w:after="60"/>
      </w:pPr>
      <w:r>
        <w:rPr>
          <w:b w:val="false"/>
          <w:bCs w:val="false"/>
        </w:rPr>
        <w:t xml:space="preserve"/>
      </w:r>
      <w:r>
        <w:rPr>
          <w:b/>
          <w:bCs/>
        </w:rPr>
        <w:t xml:space="preserve">Use efficiency techniques:</w:t>
      </w:r>
      <w:r>
        <w:rPr>
          <w:b w:val="false"/>
          <w:bCs w:val="false"/>
        </w:rPr>
        <w:t xml:space="preserve"> prompt caching, response caching, batching, retrieval to shorten prompts, and distillation for high-volume tasks.</w:t>
      </w:r>
    </w:p>
    <w:p>
      <w:pPr>
        <w:pStyle w:val="ListParagraph"/>
        <w:numPr>
          <w:ilvl w:val="0"/>
          <w:numId w:val="3"/>
        </w:numPr>
        <w:spacing w:after="60"/>
      </w:pPr>
      <w:r>
        <w:rPr>
          <w:b w:val="false"/>
          <w:bCs w:val="false"/>
        </w:rPr>
        <w:t xml:space="preserve"/>
      </w:r>
      <w:r>
        <w:rPr>
          <w:b/>
          <w:bCs/>
        </w:rPr>
        <w:t xml:space="preserve">Cap agent loops:</w:t>
      </w:r>
      <w:r>
        <w:rPr>
          <w:b w:val="false"/>
          <w:bCs w:val="false"/>
        </w:rPr>
        <w:t xml:space="preserve"> set limits on steps, tool calls, tokens and spend per task, with alerts and automatic stops.</w:t>
      </w:r>
    </w:p>
    <w:p>
      <w:pPr>
        <w:pStyle w:val="ListParagraph"/>
        <w:numPr>
          <w:ilvl w:val="0"/>
          <w:numId w:val="3"/>
        </w:numPr>
        <w:spacing w:after="60"/>
      </w:pPr>
      <w:r>
        <w:rPr>
          <w:b w:val="false"/>
          <w:bCs w:val="false"/>
        </w:rPr>
        <w:t xml:space="preserve"/>
      </w:r>
      <w:r>
        <w:rPr>
          <w:b/>
          <w:bCs/>
        </w:rPr>
        <w:t xml:space="preserve">Count the full cost of ownership:</w:t>
      </w:r>
      <w:r>
        <w:rPr>
          <w:b w:val="false"/>
          <w:bCs w:val="false"/>
        </w:rPr>
        <w:t xml:space="preserve"> evaluation, guardrails, human review, observability, change management and support, not just model fees.</w:t>
      </w:r>
    </w:p>
    <w:p>
      <w:pPr>
        <w:pStyle w:val="ListParagraph"/>
        <w:numPr>
          <w:ilvl w:val="0"/>
          <w:numId w:val="3"/>
        </w:numPr>
        <w:spacing w:after="60"/>
      </w:pPr>
      <w:r>
        <w:rPr>
          <w:b w:val="false"/>
          <w:bCs w:val="false"/>
        </w:rPr>
        <w:t xml:space="preserve"/>
      </w:r>
      <w:r>
        <w:rPr>
          <w:b/>
          <w:bCs/>
        </w:rPr>
        <w:t xml:space="preserve">Allocate cost to owners:</w:t>
      </w:r>
      <w:r>
        <w:rPr>
          <w:b w:val="false"/>
          <w:bCs w:val="false"/>
        </w:rPr>
        <w:t xml:space="preserve"> tag usage by use case and business unit so owners see the cost of the value they create.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0F8B7D" w:sz="24"/>
              <w:bottom w:val="none" w:color="FFFFFF" w:sz="0"/>
              <w:right w:val="none" w:color="FFFFFF" w:sz="0"/>
            </w:tcBorders>
            <w:shd w:fill="E6F4F2" w:color="auto" w:val="clear"/>
            <w:tcMar>
              <w:top w:type="dxa" w:w="120"/>
              <w:left w:type="dxa" w:w="200"/>
              <w:bottom w:type="dxa" w:w="120"/>
              <w:right w:type="dxa" w:w="200"/>
            </w:tcMar>
          </w:tcPr>
          <w:p>
            <w:pPr>
              <w:spacing w:after="60"/>
            </w:pPr>
            <w:r>
              <w:rPr>
                <w:b/>
                <w:bCs/>
                <w:color w:val="0F8B7D"/>
                <w:sz w:val="20"/>
                <w:szCs w:val="20"/>
              </w:rPr>
              <w:t xml:space="preserve">Value realisation checklist</w:t>
            </w:r>
          </w:p>
          <w:p>
            <w:pPr>
              <w:pStyle w:val="ListParagraph"/>
              <w:numPr>
                <w:ilvl w:val="0"/>
                <w:numId w:val="4"/>
              </w:numPr>
              <w:spacing w:after="30" w:line="252"/>
            </w:pPr>
            <w:r>
              <w:rPr>
                <w:b w:val="false"/>
                <w:bCs w:val="false"/>
                <w:sz w:val="19"/>
                <w:szCs w:val="19"/>
              </w:rPr>
              <w:t xml:space="preserve">Every use case has a business owner, a headline KPI and a measured baseline.</w:t>
            </w:r>
          </w:p>
          <w:p>
            <w:pPr>
              <w:pStyle w:val="ListParagraph"/>
              <w:numPr>
                <w:ilvl w:val="0"/>
                <w:numId w:val="4"/>
              </w:numPr>
              <w:spacing w:after="30" w:line="252"/>
            </w:pPr>
            <w:r>
              <w:rPr>
                <w:b w:val="false"/>
                <w:bCs w:val="false"/>
                <w:sz w:val="19"/>
                <w:szCs w:val="19"/>
              </w:rPr>
              <w:t xml:space="preserve">Leading indicators are tracked from day one; lagging outcomes are reviewed with finance.</w:t>
            </w:r>
          </w:p>
          <w:p>
            <w:pPr>
              <w:pStyle w:val="ListParagraph"/>
              <w:numPr>
                <w:ilvl w:val="0"/>
                <w:numId w:val="4"/>
              </w:numPr>
              <w:spacing w:after="30" w:line="252"/>
            </w:pPr>
            <w:r>
              <w:rPr>
                <w:b w:val="false"/>
                <w:bCs w:val="false"/>
                <w:sz w:val="19"/>
                <w:szCs w:val="19"/>
              </w:rPr>
              <w:t xml:space="preserve">Unit cost is known and compared with unit value; spend limits are set for agents.</w:t>
            </w:r>
          </w:p>
          <w:p>
            <w:pPr>
              <w:pStyle w:val="ListParagraph"/>
              <w:numPr>
                <w:ilvl w:val="0"/>
                <w:numId w:val="4"/>
              </w:numPr>
              <w:spacing w:after="30" w:line="252"/>
            </w:pPr>
            <w:r>
              <w:rPr>
                <w:b w:val="false"/>
                <w:bCs w:val="false"/>
                <w:sz w:val="19"/>
                <w:szCs w:val="19"/>
              </w:rPr>
              <w:t xml:space="preserve">Funding for scale is released only after value is verified.</w:t>
            </w:r>
          </w:p>
        </w:tc>
      </w:tr>
    </w:tbl>
    <w:p>
      <w:pPr>
        <w:spacing w:after="120"/>
      </w:pPr>
    </w:p>
    <w:p>
      <w:pPr>
        <w:pStyle w:val="Heading1"/>
      </w:pPr>
      <w:r>
        <w:t xml:space="preserve">4. People perspective: ADKAR for AI</w:t>
      </w:r>
    </w:p>
    <w:p>
      <w:r>
        <w:rPr>
          <w:b w:val="false"/>
          <w:bCs w:val="false"/>
        </w:rPr>
        <w:t xml:space="preserve">Technology is rarely the limiting factor in AI adoption. People are. Adoption means employees use AI routinely as part of their main responsibilities, measured by sustained, task-level use rather than licences issued. The People perspective covers leadership, skills, culture and the operating model, and uses ADKAR to manage the change for each affected group.</w:t>
      </w:r>
    </w:p>
    <w:p>
      <w:pPr>
        <w:pStyle w:val="Heading2"/>
      </w:pPr>
      <w:r>
        <w:t xml:space="preserve">4.1 The ADKAR stages applied to AI</w:t>
      </w:r>
    </w:p>
    <w:p>
      <w:r>
        <w:rPr>
          <w:b w:val="false"/>
          <w:bCs w:val="false"/>
        </w:rPr>
        <w:t xml:space="preserve">ADKAR (Awareness, Desire, Knowledge, Ability, Reinforcement), developed by Prosci, describes the five outcomes an individual must reach for change to stick. Apply it separately to each impacted group, for example frontline staff, managers, specialists and control functions, because each will be at a different stage.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400"/>
        <w:gridCol w:w="3500"/>
        <w:gridCol w:w="2438"/>
      </w:tblGrid>
      <w:tr>
        <w:trPr>
          <w:tblHeader/>
        </w:trPr>
        <w:tc>
          <w:tcPr>
            <w:tcW w:type="dxa" w:w="1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Stage</w:t>
            </w:r>
          </w:p>
        </w:tc>
        <w:tc>
          <w:tcPr>
            <w:tcW w:type="dxa" w:w="2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What it means for AI</w:t>
            </w:r>
          </w:p>
        </w:tc>
        <w:tc>
          <w:tcPr>
            <w:tcW w:type="dxa" w:w="35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Actions</w:t>
            </w:r>
          </w:p>
        </w:tc>
        <w:tc>
          <w:tcPr>
            <w:tcW w:type="dxa" w:w="24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How to measure</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Awareness</w:t>
            </w:r>
          </w:p>
        </w:tc>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People understand why AI is being adopted, what will change and what will not</w:t>
            </w:r>
          </w:p>
        </w:tc>
        <w:tc>
          <w:tcPr>
            <w:tcW w:type="dxa" w:w="3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Leader-led narrative tied to strategy</w:t>
            </w:r>
          </w:p>
          <w:p>
            <w:pPr>
              <w:pStyle w:val="ListParagraph"/>
              <w:numPr>
                <w:ilvl w:val="0"/>
                <w:numId w:val="4"/>
              </w:numPr>
              <w:spacing w:after="30" w:line="252"/>
            </w:pPr>
            <w:r>
              <w:rPr>
                <w:b w:val="false"/>
                <w:bCs w:val="false"/>
                <w:sz w:val="16"/>
                <w:szCs w:val="16"/>
              </w:rPr>
              <w:t xml:space="preserve">Clear statement of workforce intent</w:t>
            </w:r>
          </w:p>
          <w:p>
            <w:pPr>
              <w:pStyle w:val="ListParagraph"/>
              <w:numPr>
                <w:ilvl w:val="0"/>
                <w:numId w:val="4"/>
              </w:numPr>
              <w:spacing w:after="30" w:line="252"/>
            </w:pPr>
            <w:r>
              <w:rPr>
                <w:b w:val="false"/>
                <w:bCs w:val="false"/>
                <w:sz w:val="16"/>
                <w:szCs w:val="16"/>
              </w:rPr>
              <w:t xml:space="preserve">Demos of real use cases from the organisation</w:t>
            </w:r>
          </w:p>
        </w:tc>
        <w:tc>
          <w:tcPr>
            <w:tcW w:type="dxa" w:w="2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Awareness surveys; town-hall reach; questions raised</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Desire</w:t>
            </w:r>
          </w:p>
        </w:tc>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People want to take part and see a personal benefit</w:t>
            </w:r>
          </w:p>
        </w:tc>
        <w:tc>
          <w:tcPr>
            <w:tcW w:type="dxa" w:w="3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Show the personal benefit: less tedious work</w:t>
            </w:r>
          </w:p>
          <w:p>
            <w:pPr>
              <w:pStyle w:val="ListParagraph"/>
              <w:numPr>
                <w:ilvl w:val="0"/>
                <w:numId w:val="4"/>
              </w:numPr>
              <w:spacing w:after="30" w:line="252"/>
            </w:pPr>
            <w:r>
              <w:rPr>
                <w:b w:val="false"/>
                <w:bCs w:val="false"/>
                <w:sz w:val="16"/>
                <w:szCs w:val="16"/>
              </w:rPr>
              <w:t xml:space="preserve">Involve users in design</w:t>
            </w:r>
          </w:p>
          <w:p>
            <w:pPr>
              <w:pStyle w:val="ListParagraph"/>
              <w:numPr>
                <w:ilvl w:val="0"/>
                <w:numId w:val="4"/>
              </w:numPr>
              <w:spacing w:after="30" w:line="252"/>
            </w:pPr>
            <w:r>
              <w:rPr>
                <w:b w:val="false"/>
                <w:bCs w:val="false"/>
                <w:sz w:val="16"/>
                <w:szCs w:val="16"/>
              </w:rPr>
              <w:t xml:space="preserve">Address fears openly; champions network</w:t>
            </w:r>
          </w:p>
        </w:tc>
        <w:tc>
          <w:tcPr>
            <w:tcW w:type="dxa" w:w="2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Sentiment; volunteer rates; pilot sign-up</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Knowledge</w:t>
            </w:r>
          </w:p>
        </w:tc>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People know how to use AI well and safely</w:t>
            </w:r>
          </w:p>
        </w:tc>
        <w:tc>
          <w:tcPr>
            <w:tcW w:type="dxa" w:w="3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Role-based training (Section 4.3)</w:t>
            </w:r>
          </w:p>
          <w:p>
            <w:pPr>
              <w:pStyle w:val="ListParagraph"/>
              <w:numPr>
                <w:ilvl w:val="0"/>
                <w:numId w:val="4"/>
              </w:numPr>
              <w:spacing w:after="30" w:line="252"/>
            </w:pPr>
            <w:r>
              <w:rPr>
                <w:b w:val="false"/>
                <w:bCs w:val="false"/>
                <w:sz w:val="16"/>
                <w:szCs w:val="16"/>
              </w:rPr>
              <w:t xml:space="preserve">Prompt and workflow libraries</w:t>
            </w:r>
          </w:p>
          <w:p>
            <w:pPr>
              <w:pStyle w:val="ListParagraph"/>
              <w:numPr>
                <w:ilvl w:val="0"/>
                <w:numId w:val="4"/>
              </w:numPr>
              <w:spacing w:after="30" w:line="252"/>
            </w:pPr>
            <w:r>
              <w:rPr>
                <w:b w:val="false"/>
                <w:bCs w:val="false"/>
                <w:sz w:val="16"/>
                <w:szCs w:val="16"/>
              </w:rPr>
              <w:t xml:space="preserve">Acceptable-use and data-handling guidance</w:t>
            </w:r>
          </w:p>
        </w:tc>
        <w:tc>
          <w:tcPr>
            <w:tcW w:type="dxa" w:w="2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Training completion; assessment scores</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Ability</w:t>
            </w:r>
          </w:p>
        </w:tc>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People can apply AI in their real work</w:t>
            </w:r>
          </w:p>
        </w:tc>
        <w:tc>
          <w:tcPr>
            <w:tcW w:type="dxa" w:w="3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Embed AI in existing tools and workflows</w:t>
            </w:r>
          </w:p>
          <w:p>
            <w:pPr>
              <w:pStyle w:val="ListParagraph"/>
              <w:numPr>
                <w:ilvl w:val="0"/>
                <w:numId w:val="4"/>
              </w:numPr>
              <w:spacing w:after="30" w:line="252"/>
            </w:pPr>
            <w:r>
              <w:rPr>
                <w:b w:val="false"/>
                <w:bCs w:val="false"/>
                <w:sz w:val="16"/>
                <w:szCs w:val="16"/>
              </w:rPr>
              <w:t xml:space="preserve">Coaching, office hours, in-tool help</w:t>
            </w:r>
          </w:p>
          <w:p>
            <w:pPr>
              <w:pStyle w:val="ListParagraph"/>
              <w:numPr>
                <w:ilvl w:val="0"/>
                <w:numId w:val="4"/>
              </w:numPr>
              <w:spacing w:after="30" w:line="252"/>
            </w:pPr>
            <w:r>
              <w:rPr>
                <w:b w:val="false"/>
                <w:bCs w:val="false"/>
                <w:sz w:val="16"/>
                <w:szCs w:val="16"/>
              </w:rPr>
              <w:t xml:space="preserve">Redesign tasks and processes around AI</w:t>
            </w:r>
          </w:p>
        </w:tc>
        <w:tc>
          <w:tcPr>
            <w:tcW w:type="dxa" w:w="2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Active use; task success; observed proficiency</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Reinforcement</w:t>
            </w:r>
          </w:p>
        </w:tc>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The new way of working is sustained and rewarded</w:t>
            </w:r>
          </w:p>
        </w:tc>
        <w:tc>
          <w:tcPr>
            <w:tcW w:type="dxa" w:w="3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Recognise and share success stories</w:t>
            </w:r>
          </w:p>
          <w:p>
            <w:pPr>
              <w:pStyle w:val="ListParagraph"/>
              <w:numPr>
                <w:ilvl w:val="0"/>
                <w:numId w:val="4"/>
              </w:numPr>
              <w:spacing w:after="30" w:line="252"/>
            </w:pPr>
            <w:r>
              <w:rPr>
                <w:b w:val="false"/>
                <w:bCs w:val="false"/>
                <w:sz w:val="16"/>
                <w:szCs w:val="16"/>
              </w:rPr>
              <w:t xml:space="preserve">Update objectives, KPIs and incentives</w:t>
            </w:r>
          </w:p>
          <w:p>
            <w:pPr>
              <w:pStyle w:val="ListParagraph"/>
              <w:numPr>
                <w:ilvl w:val="0"/>
                <w:numId w:val="4"/>
              </w:numPr>
              <w:spacing w:after="30" w:line="252"/>
            </w:pPr>
            <w:r>
              <w:rPr>
                <w:b w:val="false"/>
                <w:bCs w:val="false"/>
                <w:sz w:val="16"/>
                <w:szCs w:val="16"/>
              </w:rPr>
              <w:t xml:space="preserve">Retire old processes; act on feedback</w:t>
            </w:r>
          </w:p>
        </w:tc>
        <w:tc>
          <w:tcPr>
            <w:tcW w:type="dxa" w:w="2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90-day retention; usage depth; value KPIs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A5F" w:sz="24"/>
              <w:bottom w:val="none" w:color="FFFFFF" w:sz="0"/>
              <w:right w:val="none" w:color="FFFFFF" w:sz="0"/>
            </w:tcBorders>
            <w:shd w:fill="F2F5F9" w:color="auto" w:val="clear"/>
            <w:tcMar>
              <w:top w:type="dxa" w:w="120"/>
              <w:left w:type="dxa" w:w="200"/>
              <w:bottom w:type="dxa" w:w="120"/>
              <w:right w:type="dxa" w:w="200"/>
            </w:tcMar>
          </w:tcPr>
          <w:p>
            <w:pPr>
              <w:spacing w:after="60"/>
            </w:pPr>
            <w:r>
              <w:rPr>
                <w:b/>
                <w:bCs/>
                <w:color w:val="1F3A5F"/>
                <w:sz w:val="20"/>
                <w:szCs w:val="20"/>
              </w:rPr>
              <w:t xml:space="preserve">Practitioner tip</w:t>
            </w:r>
          </w:p>
          <w:p>
            <w:pPr>
              <w:spacing w:after="40" w:line="252"/>
            </w:pPr>
            <w:r>
              <w:rPr>
                <w:b w:val="false"/>
                <w:bCs w:val="false"/>
                <w:sz w:val="19"/>
                <w:szCs w:val="19"/>
              </w:rPr>
              <w:t xml:space="preserve">Diagnose the barrier point before designing interventions. If adoption stalls, ask which ADKAR element is missing for that group. Training (Knowledge) will not fix a lack of Desire, and communications (Awareness) will not fix a tool that does not fit the workflow (Ability).</w:t>
            </w:r>
          </w:p>
        </w:tc>
      </w:tr>
    </w:tbl>
    <w:p>
      <w:pPr>
        <w:spacing w:after="120"/>
      </w:pPr>
    </w:p>
    <w:p>
      <w:pPr>
        <w:pStyle w:val="Heading2"/>
      </w:pPr>
      <w:r>
        <w:t xml:space="preserve">4.2 Operating model and roles</w:t>
      </w:r>
    </w:p>
    <w:p>
      <w:r>
        <w:rPr>
          <w:b w:val="false"/>
          <w:bCs w:val="false"/>
        </w:rPr>
        <w:t xml:space="preserve">Most organisations move through three operating models as they mature. A centralised Centre of Excellence (CoE) builds early capability and standards. A hub-and-spoke model scales delivery through business units while the hub owns the platform, governance and enablement. A federated model embeds capability fully in the business, with a light central function.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00"/>
        <w:gridCol w:w="6938"/>
      </w:tblGrid>
      <w:tr>
        <w:trPr>
          <w:tblHeader/>
        </w:trPr>
        <w:tc>
          <w:tcPr>
            <w:tcW w:type="dxa" w:w="2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Role</w:t>
            </w:r>
          </w:p>
        </w:tc>
        <w:tc>
          <w:tcPr>
            <w:tcW w:type="dxa" w:w="69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Responsibilities</w:t>
            </w:r>
          </w:p>
        </w:tc>
      </w:tr>
      <w:tr>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Executive sponsor</w:t>
            </w:r>
          </w:p>
        </w:tc>
        <w:tc>
          <w:tcPr>
            <w:tcW w:type="dxa" w:w="6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Owns the AI ambition, chairs the steering group, removes blockers and champions change visibly</w:t>
            </w:r>
          </w:p>
        </w:tc>
      </w:tr>
      <w:tr>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AI steering group / council</w:t>
            </w:r>
          </w:p>
        </w:tc>
        <w:tc>
          <w:tcPr>
            <w:tcW w:type="dxa" w:w="6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Sets priorities, approves the portfolio and funding, owns the risk appetite and the AI policy</w:t>
            </w:r>
          </w:p>
        </w:tc>
      </w:tr>
      <w:tr>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AI product owner (per use case)</w:t>
            </w:r>
          </w:p>
        </w:tc>
        <w:tc>
          <w:tcPr>
            <w:tcW w:type="dxa" w:w="6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Business accountability for value, adoption and risk acceptance for the use case</w:t>
            </w:r>
          </w:p>
        </w:tc>
      </w:tr>
      <w:tr>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AI and ML engineers</w:t>
            </w:r>
          </w:p>
        </w:tc>
        <w:tc>
          <w:tcPr>
            <w:tcW w:type="dxa" w:w="6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Build models, prompts, retrieval, agents and evaluations on the shared platform</w:t>
            </w:r>
          </w:p>
        </w:tc>
      </w:tr>
      <w:tr>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Data engineers and data owners</w:t>
            </w:r>
          </w:p>
        </w:tc>
        <w:tc>
          <w:tcPr>
            <w:tcW w:type="dxa" w:w="6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Make data AI-ready; own quality, access and lineage for their domains</w:t>
            </w:r>
          </w:p>
        </w:tc>
      </w:tr>
      <w:tr>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AI risk and compliance lead</w:t>
            </w:r>
          </w:p>
        </w:tc>
        <w:tc>
          <w:tcPr>
            <w:tcW w:type="dxa" w:w="6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Runs risk tiering, impact assessments and regulatory mapping; maintains the AI inventory</w:t>
            </w:r>
          </w:p>
        </w:tc>
      </w:tr>
      <w:tr>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Security architect</w:t>
            </w:r>
          </w:p>
        </w:tc>
        <w:tc>
          <w:tcPr>
            <w:tcW w:type="dxa" w:w="6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threat modelling, agent identity and permissions, runtime protection</w:t>
            </w:r>
          </w:p>
        </w:tc>
      </w:tr>
      <w:tr>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Change and enablement lead</w:t>
            </w:r>
          </w:p>
        </w:tc>
        <w:tc>
          <w:tcPr>
            <w:tcW w:type="dxa" w:w="6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Runs ADKAR plans, training, communications and adoption measurement</w:t>
            </w:r>
          </w:p>
        </w:tc>
      </w:tr>
      <w:tr>
        <w:tc>
          <w:tcPr>
            <w:tcW w:type="dxa" w:w="2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Champions network</w:t>
            </w:r>
          </w:p>
        </w:tc>
        <w:tc>
          <w:tcPr>
            <w:tcW w:type="dxa" w:w="6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Peer coaches in each team who share practices and surface feedback</w:t>
            </w:r>
          </w:p>
        </w:tc>
      </w:tr>
      <w:tr>
        <w:tc>
          <w:tcPr>
            <w:tcW w:type="dxa" w:w="2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Human reviewers and domain experts</w:t>
            </w:r>
          </w:p>
        </w:tc>
        <w:tc>
          <w:tcPr>
            <w:tcW w:type="dxa" w:w="6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Provide ground truth for evaluation and oversee high-impact agent actions</w:t>
            </w:r>
          </w:p>
        </w:tc>
      </w:tr>
    </w:tbl>
    <w:p>
      <w:pPr>
        <w:spacing w:after="120"/>
      </w:pPr>
    </w:p>
    <w:p>
      <w:pPr>
        <w:pStyle w:val="Heading2"/>
      </w:pPr>
      <w:r>
        <w:t xml:space="preserve">4.3 AI literacy and upskilling</w:t>
      </w:r>
    </w:p>
    <w:p>
      <w:r>
        <w:rPr>
          <w:b w:val="false"/>
          <w:bCs w:val="false"/>
        </w:rPr>
        <w:t xml:space="preserve">AI literacy is now a regulatory expectation as well as a business need. Under Article 4 of the EU AI Act, applicable since February 2025, providers and deployers of AI systems must take measures to ensure a sufficient level of AI literacy among staff who operate or use those systems. A tiered curriculum meets this efficiently: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4400"/>
        <w:gridCol w:w="3238"/>
      </w:tblGrid>
      <w:tr>
        <w:trPr>
          <w:tblHeader/>
        </w:trPr>
        <w:tc>
          <w:tcPr>
            <w:tcW w:type="dxa" w:w="2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Audience</w:t>
            </w:r>
          </w:p>
        </w:tc>
        <w:tc>
          <w:tcPr>
            <w:tcW w:type="dxa" w:w="4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Core content</w:t>
            </w:r>
          </w:p>
        </w:tc>
        <w:tc>
          <w:tcPr>
            <w:tcW w:type="dxa" w:w="32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Format</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All staff</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What AI can and cannot do; acceptable use; data handling; spotting errors and confabulation; when to escalate</w:t>
            </w:r>
          </w:p>
        </w:tc>
        <w:tc>
          <w:tcPr>
            <w:tcW w:type="dxa" w:w="3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Short e-learning, under 2 hours; annual refresh</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Power users</w:t>
            </w:r>
          </w:p>
        </w:tc>
        <w:tc>
          <w:tcPr>
            <w:tcW w:type="dxa" w:w="4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Effective prompting; workflow design; evaluating outputs; using approved agents and tools</w:t>
            </w:r>
          </w:p>
        </w:tc>
        <w:tc>
          <w:tcPr>
            <w:tcW w:type="dxa" w:w="3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Hands-on workshops; prompt libraries</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Builders</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Retrieval, agents, evaluation, guardrails, secure design, observability, cost optimisation</w:t>
            </w:r>
          </w:p>
        </w:tc>
        <w:tc>
          <w:tcPr>
            <w:tcW w:type="dxa" w:w="3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Technical tracks; labs; certifications</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Leaders and managers</w:t>
            </w:r>
          </w:p>
        </w:tc>
        <w:tc>
          <w:tcPr>
            <w:tcW w:type="dxa" w:w="4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Strategy, value cases, risk appetite, leading change, redesigning work</w:t>
            </w:r>
          </w:p>
        </w:tc>
        <w:tc>
          <w:tcPr>
            <w:tcW w:type="dxa" w:w="32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Executive sessions; case studies</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Risk, legal, audit and security</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risk taxonomy, NIST and ISO controls, regulation, AI-specific threats and assurance</w:t>
            </w:r>
          </w:p>
        </w:tc>
        <w:tc>
          <w:tcPr>
            <w:tcW w:type="dxa" w:w="32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Specialist training; tabletop exercises</w:t>
            </w:r>
          </w:p>
        </w:tc>
      </w:tr>
    </w:tbl>
    <w:p>
      <w:pPr>
        <w:spacing w:after="120"/>
      </w:pPr>
    </w:p>
    <w:p>
      <w:pPr>
        <w:pStyle w:val="Heading2"/>
      </w:pPr>
      <w:r>
        <w:t xml:space="preserve">4.4 Trust, resistance and job redesign</w:t>
      </w:r>
    </w:p>
    <w:p>
      <w:pPr>
        <w:pStyle w:val="ListParagraph"/>
        <w:numPr>
          <w:ilvl w:val="0"/>
          <w:numId w:val="3"/>
        </w:numPr>
        <w:spacing w:after="60"/>
      </w:pPr>
      <w:r>
        <w:rPr>
          <w:b w:val="false"/>
          <w:bCs w:val="false"/>
        </w:rPr>
        <w:t xml:space="preserve"/>
      </w:r>
      <w:r>
        <w:rPr>
          <w:b/>
          <w:bCs/>
        </w:rPr>
        <w:t xml:space="preserve">Be explicit about workforce intent.</w:t>
      </w:r>
      <w:r>
        <w:rPr>
          <w:b w:val="false"/>
          <w:bCs w:val="false"/>
        </w:rPr>
        <w:t xml:space="preserve"> Uncertainty about jobs is the strongest source of resistance. State plainly how freed capacity will be used.</w:t>
      </w:r>
    </w:p>
    <w:p>
      <w:pPr>
        <w:pStyle w:val="ListParagraph"/>
        <w:numPr>
          <w:ilvl w:val="0"/>
          <w:numId w:val="3"/>
        </w:numPr>
        <w:spacing w:after="60"/>
      </w:pPr>
      <w:r>
        <w:rPr>
          <w:b w:val="false"/>
          <w:bCs w:val="false"/>
        </w:rPr>
        <w:t xml:space="preserve"/>
      </w:r>
      <w:r>
        <w:rPr>
          <w:b/>
          <w:bCs/>
        </w:rPr>
        <w:t xml:space="preserve">Redesign tasks, not just tools.</w:t>
      </w:r>
      <w:r>
        <w:rPr>
          <w:b w:val="false"/>
          <w:bCs w:val="false"/>
        </w:rPr>
        <w:t xml:space="preserve"> Break roles into tasks, decide which AI will assist, which it will automate and which remain human, then redesign the workflow.</w:t>
      </w:r>
    </w:p>
    <w:p>
      <w:pPr>
        <w:pStyle w:val="ListParagraph"/>
        <w:numPr>
          <w:ilvl w:val="0"/>
          <w:numId w:val="3"/>
        </w:numPr>
        <w:spacing w:after="60"/>
      </w:pPr>
      <w:r>
        <w:rPr>
          <w:b w:val="false"/>
          <w:bCs w:val="false"/>
        </w:rPr>
        <w:t xml:space="preserve"/>
      </w:r>
      <w:r>
        <w:rPr>
          <w:b/>
          <w:bCs/>
        </w:rPr>
        <w:t xml:space="preserve">Define human-agent teaming.</w:t>
      </w:r>
      <w:r>
        <w:rPr>
          <w:b w:val="false"/>
          <w:bCs w:val="false"/>
        </w:rPr>
        <w:t xml:space="preserve"> For every agent, name the human who supervises it, what they approve and how they intervene. Agents need managers too.</w:t>
      </w:r>
    </w:p>
    <w:p>
      <w:pPr>
        <w:pStyle w:val="ListParagraph"/>
        <w:numPr>
          <w:ilvl w:val="0"/>
          <w:numId w:val="3"/>
        </w:numPr>
        <w:spacing w:after="60"/>
      </w:pPr>
      <w:r>
        <w:rPr>
          <w:b w:val="false"/>
          <w:bCs w:val="false"/>
        </w:rPr>
        <w:t xml:space="preserve"/>
      </w:r>
      <w:r>
        <w:rPr>
          <w:b/>
          <w:bCs/>
        </w:rPr>
        <w:t xml:space="preserve">Calibrate trust.</w:t>
      </w:r>
      <w:r>
        <w:rPr>
          <w:b w:val="false"/>
          <w:bCs w:val="false"/>
        </w:rPr>
        <w:t xml:space="preserve"> Avoid both over-reliance and rejection: show users confidence signals, citations and known limitations, and teach verification habits.</w:t>
      </w:r>
    </w:p>
    <w:p>
      <w:pPr>
        <w:pStyle w:val="ListParagraph"/>
        <w:numPr>
          <w:ilvl w:val="0"/>
          <w:numId w:val="3"/>
        </w:numPr>
        <w:spacing w:after="60"/>
      </w:pPr>
      <w:r>
        <w:rPr>
          <w:b w:val="false"/>
          <w:bCs w:val="false"/>
        </w:rPr>
        <w:t xml:space="preserve"/>
      </w:r>
      <w:r>
        <w:rPr>
          <w:b/>
          <w:bCs/>
        </w:rPr>
        <w:t xml:space="preserve">Listen continuously.</w:t>
      </w:r>
      <w:r>
        <w:rPr>
          <w:b w:val="false"/>
          <w:bCs w:val="false"/>
        </w:rPr>
        <w:t xml:space="preserve"> Use pulse surveys, champions and usage data to find friction early, and act on it visibly.</w:t>
      </w:r>
    </w:p>
    <w:p>
      <w:pPr>
        <w:pStyle w:val="Heading1"/>
      </w:pPr>
      <w:r>
        <w:t xml:space="preserve">5. Governance perspective: NIST AI RMF and ISO/IEC 42001</w:t>
      </w:r>
    </w:p>
    <w:p>
      <w:r>
        <w:rPr>
          <w:b w:val="false"/>
          <w:bCs w:val="false"/>
        </w:rPr>
        <w:t xml:space="preserve">Good AI governance does not slow innovation down; it makes speed safe. The goal is proportionate control: light-touch, fast approval for low-risk use and rigorous assurance for high-risk use, built into the delivery lifecycle rather than applied at the end. This playbook uses the NIST AI RMF for risk practice and ISO/IEC 42001 for the management system that makes governance repeatable and auditable.</w:t>
      </w:r>
    </w:p>
    <w:p>
      <w:pPr>
        <w:pStyle w:val="Heading2"/>
      </w:pPr>
      <w:r>
        <w:t xml:space="preserve">5.1 Governance principles</w:t>
      </w:r>
    </w:p>
    <w:p>
      <w:pPr>
        <w:pStyle w:val="ListParagraph"/>
        <w:numPr>
          <w:ilvl w:val="0"/>
          <w:numId w:val="3"/>
        </w:numPr>
        <w:spacing w:after="60"/>
      </w:pPr>
      <w:r>
        <w:rPr>
          <w:b w:val="false"/>
          <w:bCs w:val="false"/>
        </w:rPr>
        <w:t xml:space="preserve"/>
      </w:r>
      <w:r>
        <w:rPr>
          <w:b/>
          <w:bCs/>
        </w:rPr>
        <w:t xml:space="preserve">Risk-proportionate:</w:t>
      </w:r>
      <w:r>
        <w:rPr>
          <w:b w:val="false"/>
          <w:bCs w:val="false"/>
        </w:rPr>
        <w:t xml:space="preserve"> controls scale with impact, autonomy and regulatory exposure.</w:t>
      </w:r>
    </w:p>
    <w:p>
      <w:pPr>
        <w:pStyle w:val="ListParagraph"/>
        <w:numPr>
          <w:ilvl w:val="0"/>
          <w:numId w:val="3"/>
        </w:numPr>
        <w:spacing w:after="60"/>
      </w:pPr>
      <w:r>
        <w:rPr>
          <w:b w:val="false"/>
          <w:bCs w:val="false"/>
        </w:rPr>
        <w:t xml:space="preserve"/>
      </w:r>
      <w:r>
        <w:rPr>
          <w:b/>
          <w:bCs/>
        </w:rPr>
        <w:t xml:space="preserve">Embedded, not bolted on:</w:t>
      </w:r>
      <w:r>
        <w:rPr>
          <w:b w:val="false"/>
          <w:bCs w:val="false"/>
        </w:rPr>
        <w:t xml:space="preserve"> governance gates are part of the delivery lifecycle and the platform, not a separate committee queue.</w:t>
      </w:r>
    </w:p>
    <w:p>
      <w:pPr>
        <w:pStyle w:val="ListParagraph"/>
        <w:numPr>
          <w:ilvl w:val="0"/>
          <w:numId w:val="3"/>
        </w:numPr>
        <w:spacing w:after="60"/>
      </w:pPr>
      <w:r>
        <w:rPr>
          <w:b w:val="false"/>
          <w:bCs w:val="false"/>
        </w:rPr>
        <w:t xml:space="preserve"/>
      </w:r>
      <w:r>
        <w:rPr>
          <w:b/>
          <w:bCs/>
        </w:rPr>
        <w:t xml:space="preserve">Lifecycle-wide:</w:t>
      </w:r>
      <w:r>
        <w:rPr>
          <w:b w:val="false"/>
          <w:bCs w:val="false"/>
        </w:rPr>
        <w:t xml:space="preserve"> from idea through design, testing, deployment, monitoring and retirement.</w:t>
      </w:r>
    </w:p>
    <w:p>
      <w:pPr>
        <w:pStyle w:val="ListParagraph"/>
        <w:numPr>
          <w:ilvl w:val="0"/>
          <w:numId w:val="3"/>
        </w:numPr>
        <w:spacing w:after="60"/>
      </w:pPr>
      <w:r>
        <w:rPr>
          <w:b w:val="false"/>
          <w:bCs w:val="false"/>
        </w:rPr>
        <w:t xml:space="preserve"/>
      </w:r>
      <w:r>
        <w:rPr>
          <w:b/>
          <w:bCs/>
        </w:rPr>
        <w:t xml:space="preserve">Accountable:</w:t>
      </w:r>
      <w:r>
        <w:rPr>
          <w:b w:val="false"/>
          <w:bCs w:val="false"/>
        </w:rPr>
        <w:t xml:space="preserve"> every AI system and agent has a named business owner and is recorded in the AI inventory.</w:t>
      </w:r>
    </w:p>
    <w:p>
      <w:pPr>
        <w:pStyle w:val="ListParagraph"/>
        <w:numPr>
          <w:ilvl w:val="0"/>
          <w:numId w:val="3"/>
        </w:numPr>
        <w:spacing w:after="60"/>
      </w:pPr>
      <w:r>
        <w:rPr>
          <w:b w:val="false"/>
          <w:bCs w:val="false"/>
        </w:rPr>
        <w:t xml:space="preserve"/>
      </w:r>
      <w:r>
        <w:rPr>
          <w:b/>
          <w:bCs/>
        </w:rPr>
        <w:t xml:space="preserve">Transparent:</w:t>
      </w:r>
      <w:r>
        <w:rPr>
          <w:b w:val="false"/>
          <w:bCs w:val="false"/>
        </w:rPr>
        <w:t xml:space="preserve"> users know when they are interacting with AI, and decisions affecting people are explainable to an appropriate level.</w:t>
      </w:r>
    </w:p>
    <w:p>
      <w:pPr>
        <w:pStyle w:val="Heading2"/>
      </w:pPr>
      <w:r>
        <w:t xml:space="preserve">5.2 NIST AI Risk Management Framework</w:t>
      </w:r>
    </w:p>
    <w:p>
      <w:r>
        <w:rPr>
          <w:b w:val="false"/>
          <w:bCs w:val="false"/>
        </w:rPr>
        <w:t xml:space="preserve">The NIST AI RMF (AI 100-1, January 2023) is voluntary, sector-neutral and widely adopted as a common risk vocabulary. It is organised into four functions. Govern is cross-cutting; Map, Measure and Manage apply to each AI system.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2600"/>
        <w:gridCol w:w="3600"/>
        <w:gridCol w:w="2138"/>
      </w:tblGrid>
      <w:tr>
        <w:trPr>
          <w:tblHeader/>
        </w:trPr>
        <w:tc>
          <w:tcPr>
            <w:tcW w:type="dxa" w:w="1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Function</w:t>
            </w:r>
          </w:p>
        </w:tc>
        <w:tc>
          <w:tcPr>
            <w:tcW w:type="dxa" w:w="2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Purpose</w:t>
            </w:r>
          </w:p>
        </w:tc>
        <w:tc>
          <w:tcPr>
            <w:tcW w:type="dxa" w:w="3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Key practices</w:t>
            </w:r>
          </w:p>
        </w:tc>
        <w:tc>
          <w:tcPr>
            <w:tcW w:type="dxa" w:w="21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Typical artefacts</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Govern</w:t>
            </w:r>
          </w:p>
        </w:tc>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Build a culture and structure of risk management</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Policies, roles and accountability; risk appetite; workforce diversity and training; third-party oversight</w:t>
            </w:r>
          </w:p>
        </w:tc>
        <w:tc>
          <w:tcPr>
            <w:tcW w:type="dxa" w:w="2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policy; RACI; risk appetite statement</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Map</w:t>
            </w:r>
          </w:p>
        </w:tc>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Understand context and identify risks</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Define purpose, users and affected parties; categorise the system; identify benefits, harms and dependencies</w:t>
            </w:r>
          </w:p>
        </w:tc>
        <w:tc>
          <w:tcPr>
            <w:tcW w:type="dxa" w:w="2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Use-case record; impact assessment; risk tier</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Measure</w:t>
            </w:r>
          </w:p>
        </w:tc>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Analyse, assess and track risks</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Test against trustworthiness characteristics; evaluation and red teaming; monitor in production</w:t>
            </w:r>
          </w:p>
        </w:tc>
        <w:tc>
          <w:tcPr>
            <w:tcW w:type="dxa" w:w="2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Evaluation reports; test results; dashboards</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Manage</w:t>
            </w:r>
          </w:p>
        </w:tc>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Prioritise and act on risks</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Treat, accept or avoid risks; respond to incidents; decommission; communicate residual risk</w:t>
            </w:r>
          </w:p>
        </w:tc>
        <w:tc>
          <w:tcPr>
            <w:tcW w:type="dxa" w:w="2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Risk treatment plan; incident log; sign-offs</w:t>
            </w:r>
          </w:p>
        </w:tc>
      </w:tr>
    </w:tbl>
    <w:p>
      <w:pPr>
        <w:spacing w:after="120"/>
      </w:pPr>
    </w:p>
    <w:p>
      <w:r>
        <w:rPr>
          <w:b w:val="false"/>
          <w:bCs w:val="false"/>
        </w:rPr>
        <w:t xml:space="preserve">NIST defines seven characteristics of trustworthy AI that should be tested and evidenced: </w:t>
      </w:r>
      <w:r>
        <w:rPr>
          <w:b/>
          <w:bCs/>
        </w:rPr>
        <w:t xml:space="preserve">valid and reliable; safe; secure and resilient; accountable and transparent; explainable and interpretable; privacy-enhanced; and fair, with harmful bias managed.</w:t>
      </w:r>
      <w:r>
        <w:rPr>
          <w:b w:val="false"/>
          <w:bCs w:val="false"/>
        </w:rPr>
        <w:t xml:space="preserve"/>
      </w:r>
    </w:p>
    <w:p>
      <w:pPr>
        <w:pStyle w:val="Heading2"/>
      </w:pPr>
      <w:r>
        <w:t xml:space="preserve">5.3 The Generative AI Profile: twelve risks</w:t>
      </w:r>
    </w:p>
    <w:p>
      <w:r>
        <w:rPr>
          <w:b w:val="false"/>
          <w:bCs w:val="false"/>
        </w:rPr>
        <w:t xml:space="preserve">NIST AI 600-1 (July 2024) extends the AI RMF to generative AI and identifies twelve risks that are unique to it or made worse by it. They make a useful checklist for risk workshops and for scoping red-team exercises.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700"/>
        <w:gridCol w:w="3338"/>
      </w:tblGrid>
      <w:tr>
        <w:trPr>
          <w:tblHeader/>
        </w:trPr>
        <w:tc>
          <w:tcPr>
            <w:tcW w:type="dxa" w:w="2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Risk</w:t>
            </w:r>
          </w:p>
        </w:tc>
        <w:tc>
          <w:tcPr>
            <w:tcW w:type="dxa" w:w="3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What it means</w:t>
            </w:r>
          </w:p>
        </w:tc>
        <w:tc>
          <w:tcPr>
            <w:tcW w:type="dxa" w:w="33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Example controls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CBRN information or capabilities</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Easier access to information that could help chemical, biological, radiological or nuclear harm</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Model provider safeguards; content filters; use restrictions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Confabulation</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Confident but false or fabricated outputs (hallucination)</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Retrieval grounding; citations; groundedness evaluation; human review</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Dangerous, violent or hateful content</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Generation of harmful or inciting content</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Input and output guardrails; red teaming</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Data privacy</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Leakage or inference of personal or sensitive data</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Data minimisation; PII redaction; access-controlled retrieval</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Environmental impacts</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Energy and resource use from training and inference</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Right-sized models; efficiency tracking</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Harmful bias and homogenisation</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Unfair outcomes or loss of diversity in outputs</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Bias testing across groups; diverse evaluation sets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Human-AI configuration</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Over-reliance, automation bias or poorly designed oversight</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Oversight design; confidence signals; training</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Information integrity</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Misinformation, deepfakes and erosion of trust in content</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Provenance and watermarking; disclosure of AI content</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Information security</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New attack surface, including prompt injection and data poisoning</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Threat modelling; guardrails; least privilege (Section 8)</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Intellectual property</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Infringement or leakage of copyrighted or confidential material</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Licensed models and data; output filters; contract terms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Obscene, degrading or abusive content</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Generation of illegal or abusive imagery or text</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Strict content policies and filters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Value chain and component integration</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Risks from third-party models, data, tools and plug-ins</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Supplier due diligence; model and tool registries; software bill of materials</w:t>
            </w:r>
          </w:p>
        </w:tc>
      </w:tr>
    </w:tbl>
    <w:p>
      <w:pPr>
        <w:spacing w:after="120"/>
      </w:pPr>
    </w:p>
    <w:p>
      <w:pPr>
        <w:pStyle w:val="Heading2"/>
      </w:pPr>
      <w:r>
        <w:t xml:space="preserve">5.4 ISO/IEC 42001: the AI management system</w:t>
      </w:r>
    </w:p>
    <w:p>
      <w:r>
        <w:rPr>
          <w:b w:val="false"/>
          <w:bCs w:val="false"/>
        </w:rPr>
        <w:t xml:space="preserve">ISO/IEC 42001:2023 is the first international, certifiable standard for an AI management system (AIMS). It follows the same high-level structure as ISO/IEC 27001 (information security) and ISO 9001 (quality), so organisations with those systems can extend them rather than start again. It uses a Plan-Do-Check-Act cycle of continual improvement.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blHeader/>
        </w:trPr>
        <w:tc>
          <w:tcPr>
            <w:tcW w:type="dxa" w:w="2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Clause</w:t>
            </w:r>
          </w:p>
        </w:tc>
        <w:tc>
          <w:tcPr>
            <w:tcW w:type="dxa" w:w="74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What it requires in practice</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4 Context</w:t>
            </w:r>
          </w:p>
        </w:tc>
        <w:tc>
          <w:tcPr>
            <w:tcW w:type="dxa" w:w="7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Define the scope of the AIMS, your role (for example developer, provider or user of AI) and interested parties</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5 Leadership</w:t>
            </w:r>
          </w:p>
        </w:tc>
        <w:tc>
          <w:tcPr>
            <w:tcW w:type="dxa" w:w="7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Top-management commitment, an AI policy, and clear roles and responsibilities</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6 Planning</w:t>
            </w:r>
          </w:p>
        </w:tc>
        <w:tc>
          <w:tcPr>
            <w:tcW w:type="dxa" w:w="7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risk assessment and treatment, AI system impact assessment, measurable AI objectives</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7 Support</w:t>
            </w:r>
          </w:p>
        </w:tc>
        <w:tc>
          <w:tcPr>
            <w:tcW w:type="dxa" w:w="7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Resources, competence, awareness, communication and documented information</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8 Operation</w:t>
            </w:r>
          </w:p>
        </w:tc>
        <w:tc>
          <w:tcPr>
            <w:tcW w:type="dxa" w:w="7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Operational planning and control; carrying out risk assessments, treatments and impact assessments</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9 Performance evaluation</w:t>
            </w:r>
          </w:p>
        </w:tc>
        <w:tc>
          <w:tcPr>
            <w:tcW w:type="dxa" w:w="74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Monitoring and measurement, internal audit and management review</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10 Improvement</w:t>
            </w:r>
          </w:p>
        </w:tc>
        <w:tc>
          <w:tcPr>
            <w:tcW w:type="dxa" w:w="74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Nonconformity, corrective action and continual improvement</w:t>
            </w:r>
          </w:p>
        </w:tc>
      </w:tr>
    </w:tbl>
    <w:p>
      <w:pPr>
        <w:spacing w:after="120"/>
      </w:pPr>
    </w:p>
    <w:p>
      <w:r>
        <w:rPr>
          <w:b w:val="false"/>
          <w:bCs w:val="false"/>
        </w:rPr>
        <w:t xml:space="preserve">Annex A provides reference controls across nine areas: AI policies; internal organisation; resources for AI systems; assessing impacts of AI systems; AI system life cycle; data for AI systems; information for interested parties; use of AI systems; and third-party and customer relationships. Supporting standards include ISO/IEC 23894 (guidance on AI risk management) and ISO/IEC 42005 (AI system impact assessment).</w:t>
      </w:r>
    </w:p>
    <w:p>
      <w:pPr>
        <w:pStyle w:val="Heading2"/>
      </w:pPr>
      <w:r>
        <w:t xml:space="preserve">5.5 Choosing NIST, ISO or both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3738"/>
      </w:tblGrid>
      <w:tr>
        <w:trPr>
          <w:tblHeader/>
        </w:trPr>
        <w:tc>
          <w:tcPr>
            <w:tcW w:type="dxa" w:w="2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Aspect</w:t>
            </w:r>
          </w:p>
        </w:tc>
        <w:tc>
          <w:tcPr>
            <w:tcW w:type="dxa" w:w="3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NIST AI RMF</w:t>
            </w:r>
          </w:p>
        </w:tc>
        <w:tc>
          <w:tcPr>
            <w:tcW w:type="dxa" w:w="37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ISO/IEC 42001</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Nature</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Voluntary risk framework and vocabulary</w:t>
            </w:r>
          </w:p>
        </w:tc>
        <w:tc>
          <w:tcPr>
            <w:tcW w:type="dxa" w:w="3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Certifiable management-system standard</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Strength</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Practical, detailed risk practices; GenAI Profile; free to use</w:t>
            </w:r>
          </w:p>
        </w:tc>
        <w:tc>
          <w:tcPr>
            <w:tcW w:type="dxa" w:w="3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Auditable structure, external assurance, global recognition</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Best for</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Building risk practice and shared language quickly</w:t>
            </w:r>
          </w:p>
        </w:tc>
        <w:tc>
          <w:tcPr>
            <w:tcW w:type="dxa" w:w="3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Demonstrating governance to customers, regulators and partners</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Effort</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Low to moderate; adopt incrementally</w:t>
            </w:r>
          </w:p>
        </w:tc>
        <w:tc>
          <w:tcPr>
            <w:tcW w:type="dxa" w:w="3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Moderate to high; requires a documented system and audits</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Recommendation</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Use as the day-to-day risk method</w:t>
            </w:r>
          </w:p>
        </w:tc>
        <w:tc>
          <w:tcPr>
            <w:tcW w:type="dxa" w:w="3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Use as the governance backbone where assurance is required</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0F8B7D" w:sz="24"/>
              <w:bottom w:val="none" w:color="FFFFFF" w:sz="0"/>
              <w:right w:val="none" w:color="FFFFFF" w:sz="0"/>
            </w:tcBorders>
            <w:shd w:fill="E6F4F2" w:color="auto" w:val="clear"/>
            <w:tcMar>
              <w:top w:type="dxa" w:w="120"/>
              <w:left w:type="dxa" w:w="200"/>
              <w:bottom w:type="dxa" w:w="120"/>
              <w:right w:type="dxa" w:w="200"/>
            </w:tcMar>
          </w:tcPr>
          <w:p>
            <w:pPr>
              <w:spacing w:after="60"/>
            </w:pPr>
            <w:r>
              <w:rPr>
                <w:b/>
                <w:bCs/>
                <w:color w:val="0F8B7D"/>
                <w:sz w:val="20"/>
                <w:szCs w:val="20"/>
              </w:rPr>
              <w:t xml:space="preserve">Recommended approach</w:t>
            </w:r>
          </w:p>
          <w:p>
            <w:pPr>
              <w:spacing w:after="40" w:line="252"/>
            </w:pPr>
            <w:r>
              <w:rPr>
                <w:b w:val="false"/>
                <w:bCs w:val="false"/>
                <w:sz w:val="19"/>
                <w:szCs w:val="19"/>
              </w:rPr>
              <w:t xml:space="preserve">Use both. Start with the NIST AI RMF to build risk practice and vocabulary, because it gives teams something useful within weeks. Wrap it in an ISO/IEC 42001-style management system as maturity grows, and pursue certification when customers, regulators or partners ask for independent assurance. NIST publishes crosswalks between its framework and ISO standards, so the work can be reused.</w:t>
            </w:r>
          </w:p>
        </w:tc>
      </w:tr>
    </w:tbl>
    <w:p>
      <w:pPr>
        <w:spacing w:after="120"/>
      </w:pPr>
    </w:p>
    <w:p>
      <w:pPr>
        <w:pStyle w:val="Heading2"/>
      </w:pPr>
      <w:r>
        <w:t xml:space="preserve">5.6 The regulatory landscape</w:t>
      </w:r>
    </w:p>
    <w:p>
      <w:r>
        <w:rPr>
          <w:b w:val="false"/>
          <w:bCs w:val="false"/>
        </w:rPr>
        <w:t xml:space="preserve">Regulation is evolving quickly and varies by jurisdiction and sector. Treat the summary below as orientation only, and confirm current obligations with legal counsel.</w:t>
      </w:r>
    </w:p>
    <w:p>
      <w:pPr>
        <w:pStyle w:val="ListParagraph"/>
        <w:numPr>
          <w:ilvl w:val="0"/>
          <w:numId w:val="3"/>
        </w:numPr>
        <w:spacing w:after="60"/>
      </w:pPr>
      <w:r>
        <w:rPr>
          <w:b w:val="false"/>
          <w:bCs w:val="false"/>
        </w:rPr>
        <w:t xml:space="preserve"/>
      </w:r>
      <w:r>
        <w:rPr>
          <w:b/>
          <w:bCs/>
        </w:rPr>
        <w:t xml:space="preserve">EU AI Act:</w:t>
      </w:r>
      <w:r>
        <w:rPr>
          <w:b w:val="false"/>
          <w:bCs w:val="false"/>
        </w:rPr>
        <w:t xml:space="preserve"> a risk-based regulation with four tiers: prohibited practices (for example, social scoring); high-risk systems (for example, in employment, credit, critical infrastructure and essential services) with strict obligations; limited-risk systems with transparency duties (for example, chatbots and AI-generated content); and minimal-risk systems. It also sets obligations for general-purpose AI models. It entered into force in August 2024. Prohibitions and AI literacy have applied since February 2025, general-purpose AI obligations since August 2025, and most high-risk obligations are phased from August 2026 onwards. The European Commission has proposed changes to parts of this timetable, so always check the current dates. The most serious breaches can attract fines of up to 7% of global annual turnover.</w:t>
      </w:r>
    </w:p>
    <w:p>
      <w:pPr>
        <w:pStyle w:val="ListParagraph"/>
        <w:numPr>
          <w:ilvl w:val="0"/>
          <w:numId w:val="3"/>
        </w:numPr>
        <w:spacing w:after="60"/>
      </w:pPr>
      <w:r>
        <w:rPr>
          <w:b w:val="false"/>
          <w:bCs w:val="false"/>
        </w:rPr>
        <w:t xml:space="preserve"/>
      </w:r>
      <w:r>
        <w:rPr>
          <w:b/>
          <w:bCs/>
        </w:rPr>
        <w:t xml:space="preserve">United Kingdom:</w:t>
      </w:r>
      <w:r>
        <w:rPr>
          <w:b w:val="false"/>
          <w:bCs w:val="false"/>
        </w:rPr>
        <w:t xml:space="preserve"> a principles-based approach applied through existing sector regulators (for example, the FCA, ICO and CMA), covering safety, transparency, fairness, accountability and contestability.</w:t>
      </w:r>
    </w:p>
    <w:p>
      <w:pPr>
        <w:pStyle w:val="ListParagraph"/>
        <w:numPr>
          <w:ilvl w:val="0"/>
          <w:numId w:val="3"/>
        </w:numPr>
        <w:spacing w:after="60"/>
      </w:pPr>
      <w:r>
        <w:rPr>
          <w:b w:val="false"/>
          <w:bCs w:val="false"/>
        </w:rPr>
        <w:t xml:space="preserve"/>
      </w:r>
      <w:r>
        <w:rPr>
          <w:b/>
          <w:bCs/>
        </w:rPr>
        <w:t xml:space="preserve">United States:</w:t>
      </w:r>
      <w:r>
        <w:rPr>
          <w:b w:val="false"/>
          <w:bCs w:val="false"/>
        </w:rPr>
        <w:t xml:space="preserve"> no single federal AI law; a mix of federal guidance, sector regulation and state laws (for example, in Colorado), with NIST frameworks widely referenced.</w:t>
      </w:r>
    </w:p>
    <w:p>
      <w:pPr>
        <w:pStyle w:val="ListParagraph"/>
        <w:numPr>
          <w:ilvl w:val="0"/>
          <w:numId w:val="3"/>
        </w:numPr>
        <w:spacing w:after="60"/>
      </w:pPr>
      <w:r>
        <w:rPr>
          <w:b w:val="false"/>
          <w:bCs w:val="false"/>
        </w:rPr>
        <w:t xml:space="preserve"/>
      </w:r>
      <w:r>
        <w:rPr>
          <w:b/>
          <w:bCs/>
        </w:rPr>
        <w:t xml:space="preserve">Sector rules:</w:t>
      </w:r>
      <w:r>
        <w:rPr>
          <w:b w:val="false"/>
          <w:bCs w:val="false"/>
        </w:rPr>
        <w:t xml:space="preserve"> model-risk management in financial services (for example, PRA SS1/23 in the UK), healthcare and medical-device rules, and data protection law such as the GDPR apply alongside AI-specific regulation.</w:t>
      </w:r>
    </w:p>
    <w:p>
      <w:pPr>
        <w:pStyle w:val="Heading2"/>
      </w:pPr>
      <w:r>
        <w:t xml:space="preserve">5.7 Risk tiering and governance gates</w:t>
      </w:r>
    </w:p>
    <w:p>
      <w:r>
        <w:rPr>
          <w:b w:val="false"/>
          <w:bCs w:val="false"/>
        </w:rPr>
        <w:t xml:space="preserve">A simple, published risk-tiering scheme is the most effective way to make governance fast. Teams self-assess against clear criteria, and the tier decides the required controls and the approver.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3000"/>
        <w:gridCol w:w="3600"/>
        <w:gridCol w:w="1738"/>
      </w:tblGrid>
      <w:tr>
        <w:trPr>
          <w:tblHeader/>
        </w:trPr>
        <w:tc>
          <w:tcPr>
            <w:tcW w:type="dxa" w:w="1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Tier</w:t>
            </w:r>
          </w:p>
        </w:tc>
        <w:tc>
          <w:tcPr>
            <w:tcW w:type="dxa" w:w="3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Typical criteria</w:t>
            </w:r>
          </w:p>
        </w:tc>
        <w:tc>
          <w:tcPr>
            <w:tcW w:type="dxa" w:w="3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Minimum controls</w:t>
            </w:r>
          </w:p>
        </w:tc>
        <w:tc>
          <w:tcPr>
            <w:tcW w:type="dxa" w:w="17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Approver</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Tier 1 Low</w:t>
            </w:r>
          </w:p>
        </w:tc>
        <w:tc>
          <w:tcPr>
            <w:tcW w:type="dxa" w:w="3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Internal productivity; a human reviews all output; no sensitive data; no external effect</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Inventory entry; acceptable-use policy; approved platform</w:t>
            </w:r>
          </w:p>
        </w:tc>
        <w:tc>
          <w:tcPr>
            <w:tcW w:type="dxa" w:w="1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Product owner</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Tier 2 Moderate</w:t>
            </w:r>
          </w:p>
        </w:tc>
        <w:tc>
          <w:tcPr>
            <w:tcW w:type="dxa" w:w="3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Customer-facing with human oversight; internal decision support; confidential data</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Tier 1 plus evaluation report, guardrails, monitoring and transparency notice</w:t>
            </w:r>
          </w:p>
        </w:tc>
        <w:tc>
          <w:tcPr>
            <w:tcW w:type="dxa" w:w="1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AI risk lead</w:t>
            </w:r>
          </w:p>
        </w:tc>
      </w:tr>
      <w:tr>
        <w:tc>
          <w:tcPr>
            <w:tcW w:type="dxa" w:w="1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Tier 3 High</w:t>
            </w:r>
          </w:p>
        </w:tc>
        <w:tc>
          <w:tcPr>
            <w:tcW w:type="dxa" w:w="3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Decisions with significant effects on people; regulated use; agents with write access to core systems</w:t>
            </w:r>
          </w:p>
        </w:tc>
        <w:tc>
          <w:tcPr>
            <w:tcW w:type="dxa" w:w="3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Tier 2 plus impact assessment, red team, human-oversight design, incident plan and periodic audit</w:t>
            </w:r>
          </w:p>
        </w:tc>
        <w:tc>
          <w:tcPr>
            <w:tcW w:type="dxa" w:w="1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council / risk committee</w:t>
            </w:r>
          </w:p>
        </w:tc>
      </w:tr>
      <w:tr>
        <w:tc>
          <w:tcPr>
            <w:tcW w:type="dxa" w:w="1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Prohibited</w:t>
            </w:r>
          </w:p>
        </w:tc>
        <w:tc>
          <w:tcPr>
            <w:tcW w:type="dxa" w:w="3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Uses banned by law or outside the risk appetite</w:t>
            </w:r>
          </w:p>
        </w:tc>
        <w:tc>
          <w:tcPr>
            <w:tcW w:type="dxa" w:w="3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Not permitted</w:t>
            </w:r>
          </w:p>
        </w:tc>
        <w:tc>
          <w:tcPr>
            <w:tcW w:type="dxa" w:w="1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n/a</w:t>
            </w:r>
          </w:p>
        </w:tc>
      </w:tr>
    </w:tbl>
    <w:p>
      <w:pPr>
        <w:spacing w:after="120"/>
      </w:pPr>
    </w:p>
    <w:p>
      <w:pPr>
        <w:pStyle w:val="Heading2"/>
      </w:pPr>
      <w:r>
        <w:t xml:space="preserve">5.8 The AI inventory</w:t>
      </w:r>
    </w:p>
    <w:p>
      <w:r>
        <w:rPr>
          <w:b w:val="false"/>
          <w:bCs w:val="false"/>
        </w:rPr>
        <w:t xml:space="preserve">Keep a single register of every AI system and agent in use, including third-party and embedded AI. Record the owner, purpose, users, models and versions, data sources, tools and permissions (for agents), risk tier, evaluation results, approval status and review date. The inventory is the foundation for risk reporting, regulatory obligations, incident response and ISO/IEC 42001 audits. For agents, extend it into an agent registry that records each agent’s identity, scope and supervising human.</w:t>
      </w:r>
    </w:p>
    <w:p>
      <w:pPr>
        <w:pStyle w:val="Heading1"/>
      </w:pPr>
      <w:r>
        <w:t xml:space="preserve">6. Data foundations</w:t>
      </w:r>
    </w:p>
    <w:p>
      <w:r>
        <w:rPr>
          <w:b w:val="false"/>
          <w:bCs w:val="false"/>
        </w:rPr>
        <w:t xml:space="preserve">Data readiness is the most common reason AI stalls between pilot and production. Gartner has warned that organisations will abandon a large share of AI projects that are not supported by AI-ready data. Generative and agentic AI also change what data readiness means: unstructured content (documents, emails, tickets, transcripts) becomes as important as structured tables, and access control must hold all the way through to the model and the agent.</w:t>
      </w:r>
    </w:p>
    <w:p>
      <w:pPr>
        <w:pStyle w:val="Heading2"/>
      </w:pPr>
      <w:r>
        <w:t xml:space="preserve">6.1 What AI-ready data means</w:t>
      </w:r>
    </w:p>
    <w:p>
      <w:r>
        <w:rPr>
          <w:b w:val="false"/>
          <w:bCs w:val="false"/>
        </w:rPr>
        <w:t xml:space="preserve">Data is AI-ready when it is fit for a specific use case: aligned to that use case, qualified to the required standard, and governed so it can be used safely and continuously. There is no universal AI-ready state; readiness is assessed use case by use case.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4400"/>
        <w:gridCol w:w="3338"/>
      </w:tblGrid>
      <w:tr>
        <w:trPr>
          <w:tblHeader/>
        </w:trPr>
        <w:tc>
          <w:tcPr>
            <w:tcW w:type="dxa" w:w="19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Dimension</w:t>
            </w:r>
          </w:p>
        </w:tc>
        <w:tc>
          <w:tcPr>
            <w:tcW w:type="dxa" w:w="4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Questions to ask</w:t>
            </w:r>
          </w:p>
        </w:tc>
        <w:tc>
          <w:tcPr>
            <w:tcW w:type="dxa" w:w="33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Evidence of readiness</w:t>
            </w:r>
          </w:p>
        </w:tc>
      </w:tr>
      <w:tr>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Availability</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Does the data the use case needs exist, and can the system reach it reliably?</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Documented sources; working connectors or APIs</w:t>
            </w:r>
          </w:p>
        </w:tc>
      </w:tr>
      <w:tr>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Quality</w:t>
            </w:r>
          </w:p>
        </w:tc>
        <w:tc>
          <w:tcPr>
            <w:tcW w:type="dxa" w:w="4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Is it accurate, complete, current and consistent enough for the required outcome?</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Quality metrics and thresholds; profiling results</w:t>
            </w:r>
          </w:p>
        </w:tc>
      </w:tr>
      <w:tr>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Context and meaning</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Is it described well enough for a model or agent to interpret it correctly?</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Catalogue entries; business glossary; semantic layer</w:t>
            </w:r>
          </w:p>
        </w:tc>
      </w:tr>
      <w:tr>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Access control</w:t>
            </w:r>
          </w:p>
        </w:tc>
        <w:tc>
          <w:tcPr>
            <w:tcW w:type="dxa" w:w="4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Are source permissions preserved so users and agents see only what they are entitled to?</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Permission-aware retrieval; tested entitlements</w:t>
            </w:r>
          </w:p>
        </w:tc>
      </w:tr>
      <w:tr>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Lineage and provenance</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 we know where it came from, how it changed and whether we may use it for this purpose?</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Lineage records; licence and consent status</w:t>
            </w:r>
          </w:p>
        </w:tc>
      </w:tr>
      <w:tr>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Freshness</w:t>
            </w:r>
          </w:p>
        </w:tc>
        <w:tc>
          <w:tcPr>
            <w:tcW w:type="dxa" w:w="4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How quickly do changes in the source reach the AI system?</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Defined update service levels; monitoring</w:t>
            </w:r>
          </w:p>
        </w:tc>
      </w:tr>
      <w:tr>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Representativeness</w:t>
            </w:r>
          </w:p>
        </w:tc>
        <w:tc>
          <w:tcPr>
            <w:tcW w:type="dxa" w:w="4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Does it reflect the populations and situations the system will face?</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Coverage and bias analysis</w:t>
            </w:r>
          </w:p>
        </w:tc>
      </w:tr>
    </w:tbl>
    <w:p>
      <w:pPr>
        <w:spacing w:after="120"/>
      </w:pPr>
    </w:p>
    <w:p>
      <w:pPr>
        <w:pStyle w:val="Heading2"/>
      </w:pPr>
      <w:r>
        <w:t xml:space="preserve">6.2 Unstructured data and retrieval-augmented generation (RAG)</w:t>
      </w:r>
    </w:p>
    <w:p>
      <w:r>
        <w:rPr>
          <w:b w:val="false"/>
          <w:bCs w:val="false"/>
        </w:rPr>
        <w:t xml:space="preserve">Most enterprise generative AI uses retrieval: the system finds relevant content and supplies it to the model so answers are grounded in the organisation’s own knowledge. Retrieval quality usually matters more than model choice. A robust pipeline has these stages:</w:t>
      </w:r>
    </w:p>
    <w:p>
      <w:pPr>
        <w:pStyle w:val="ListParagraph"/>
        <w:numPr>
          <w:ilvl w:val="0"/>
          <w:numId w:val="6"/>
        </w:numPr>
        <w:spacing w:after="60"/>
      </w:pPr>
      <w:r>
        <w:rPr>
          <w:b w:val="false"/>
          <w:bCs w:val="false"/>
        </w:rPr>
        <w:t xml:space="preserve"/>
      </w:r>
      <w:r>
        <w:rPr>
          <w:b/>
          <w:bCs/>
        </w:rPr>
        <w:t xml:space="preserve">Ingest and parse:</w:t>
      </w:r>
      <w:r>
        <w:rPr>
          <w:b w:val="false"/>
          <w:bCs w:val="false"/>
        </w:rPr>
        <w:t xml:space="preserve"> connect to sources; extract text, tables and images faithfully, including from complex PDFs and scans.</w:t>
      </w:r>
    </w:p>
    <w:p>
      <w:pPr>
        <w:pStyle w:val="ListParagraph"/>
        <w:numPr>
          <w:ilvl w:val="0"/>
          <w:numId w:val="6"/>
        </w:numPr>
        <w:spacing w:after="60"/>
      </w:pPr>
      <w:r>
        <w:rPr>
          <w:b w:val="false"/>
          <w:bCs w:val="false"/>
        </w:rPr>
        <w:t xml:space="preserve"/>
      </w:r>
      <w:r>
        <w:rPr>
          <w:b/>
          <w:bCs/>
        </w:rPr>
        <w:t xml:space="preserve">Chunk and enrich:</w:t>
      </w:r>
      <w:r>
        <w:rPr>
          <w:b w:val="false"/>
          <w:bCs w:val="false"/>
        </w:rPr>
        <w:t xml:space="preserve"> split content into meaningful units and add metadata (source, owner, date, classification, permissions).</w:t>
      </w:r>
    </w:p>
    <w:p>
      <w:pPr>
        <w:pStyle w:val="ListParagraph"/>
        <w:numPr>
          <w:ilvl w:val="0"/>
          <w:numId w:val="6"/>
        </w:numPr>
        <w:spacing w:after="60"/>
      </w:pPr>
      <w:r>
        <w:rPr>
          <w:b w:val="false"/>
          <w:bCs w:val="false"/>
        </w:rPr>
        <w:t xml:space="preserve"/>
      </w:r>
      <w:r>
        <w:rPr>
          <w:b/>
          <w:bCs/>
        </w:rPr>
        <w:t xml:space="preserve">Embed and index:</w:t>
      </w:r>
      <w:r>
        <w:rPr>
          <w:b w:val="false"/>
          <w:bCs w:val="false"/>
        </w:rPr>
        <w:t xml:space="preserve"> create vector and keyword indexes; hybrid search usually outperforms either alone.</w:t>
      </w:r>
    </w:p>
    <w:p>
      <w:pPr>
        <w:pStyle w:val="ListParagraph"/>
        <w:numPr>
          <w:ilvl w:val="0"/>
          <w:numId w:val="6"/>
        </w:numPr>
        <w:spacing w:after="60"/>
      </w:pPr>
      <w:r>
        <w:rPr>
          <w:b w:val="false"/>
          <w:bCs w:val="false"/>
        </w:rPr>
        <w:t xml:space="preserve"/>
      </w:r>
      <w:r>
        <w:rPr>
          <w:b/>
          <w:bCs/>
        </w:rPr>
        <w:t xml:space="preserve">Retrieve and re-rank:</w:t>
      </w:r>
      <w:r>
        <w:rPr>
          <w:b w:val="false"/>
          <w:bCs w:val="false"/>
        </w:rPr>
        <w:t xml:space="preserve"> filter by permissions and metadata, then re-rank for relevance.</w:t>
      </w:r>
    </w:p>
    <w:p>
      <w:pPr>
        <w:pStyle w:val="ListParagraph"/>
        <w:numPr>
          <w:ilvl w:val="0"/>
          <w:numId w:val="6"/>
        </w:numPr>
        <w:spacing w:after="60"/>
      </w:pPr>
      <w:r>
        <w:rPr>
          <w:b w:val="false"/>
          <w:bCs w:val="false"/>
        </w:rPr>
        <w:t xml:space="preserve"/>
      </w:r>
      <w:r>
        <w:rPr>
          <w:b/>
          <w:bCs/>
        </w:rPr>
        <w:t xml:space="preserve">Generate with citations:</w:t>
      </w:r>
      <w:r>
        <w:rPr>
          <w:b w:val="false"/>
          <w:bCs w:val="false"/>
        </w:rPr>
        <w:t xml:space="preserve"> instruct the model to answer only from the retrieved content and to cite sources.</w:t>
      </w:r>
    </w:p>
    <w:p>
      <w:pPr>
        <w:pStyle w:val="ListParagraph"/>
        <w:numPr>
          <w:ilvl w:val="0"/>
          <w:numId w:val="6"/>
        </w:numPr>
        <w:spacing w:after="60"/>
      </w:pPr>
      <w:r>
        <w:rPr>
          <w:b w:val="false"/>
          <w:bCs w:val="false"/>
        </w:rPr>
        <w:t xml:space="preserve"/>
      </w:r>
      <w:r>
        <w:rPr>
          <w:b/>
          <w:bCs/>
        </w:rPr>
        <w:t xml:space="preserve">Evaluate continuously:</w:t>
      </w:r>
      <w:r>
        <w:rPr>
          <w:b w:val="false"/>
          <w:bCs w:val="false"/>
        </w:rPr>
        <w:t xml:space="preserve"> measure retrieval recall, answer groundedness and citation accuracy, and refresh indexes as sources change.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B86E00" w:sz="24"/>
              <w:bottom w:val="none" w:color="FFFFFF" w:sz="0"/>
              <w:right w:val="none" w:color="FFFFFF" w:sz="0"/>
            </w:tcBorders>
            <w:shd w:fill="FFF4E0" w:color="auto" w:val="clear"/>
            <w:tcMar>
              <w:top w:type="dxa" w:w="120"/>
              <w:left w:type="dxa" w:w="200"/>
              <w:bottom w:type="dxa" w:w="120"/>
              <w:right w:type="dxa" w:w="200"/>
            </w:tcMar>
          </w:tcPr>
          <w:p>
            <w:pPr>
              <w:spacing w:after="60"/>
            </w:pPr>
            <w:r>
              <w:rPr>
                <w:b/>
                <w:bCs/>
                <w:color w:val="B86E00"/>
                <w:sz w:val="20"/>
                <w:szCs w:val="20"/>
              </w:rPr>
              <w:t xml:space="preserve">Common pitfall: permission leakage</w:t>
            </w:r>
          </w:p>
          <w:p>
            <w:pPr>
              <w:spacing w:after="40" w:line="252"/>
            </w:pPr>
            <w:r>
              <w:rPr>
                <w:b w:val="false"/>
                <w:bCs w:val="false"/>
                <w:sz w:val="19"/>
                <w:szCs w:val="19"/>
              </w:rPr>
              <w:t xml:space="preserve">If documents are indexed without their access controls, a model can reveal content a user is not allowed to see. Preserve source permissions in the index, filter at query time using the user’s identity, and test with users who have different entitlements before launch.</w:t>
            </w:r>
          </w:p>
        </w:tc>
      </w:tr>
    </w:tbl>
    <w:p>
      <w:pPr>
        <w:spacing w:after="120"/>
      </w:pPr>
    </w:p>
    <w:p>
      <w:pPr>
        <w:pStyle w:val="Heading2"/>
      </w:pPr>
      <w:r>
        <w:t xml:space="preserve">6.3 Semantics, knowledge graphs and data products</w:t>
      </w:r>
    </w:p>
    <w:p>
      <w:r>
        <w:rPr>
          <w:b w:val="false"/>
          <w:bCs w:val="false"/>
        </w:rPr>
        <w:t xml:space="preserve">Agents need to understand what data means, not just where it is. Analysts increasingly highlight semantic layers as essential for AI agents that work with analytics and enterprise data. Practical steps:</w:t>
      </w:r>
    </w:p>
    <w:p>
      <w:pPr>
        <w:pStyle w:val="ListParagraph"/>
        <w:numPr>
          <w:ilvl w:val="0"/>
          <w:numId w:val="3"/>
        </w:numPr>
        <w:spacing w:after="60"/>
      </w:pPr>
      <w:r>
        <w:rPr>
          <w:b w:val="false"/>
          <w:bCs w:val="false"/>
        </w:rPr>
        <w:t xml:space="preserve"/>
      </w:r>
      <w:r>
        <w:rPr>
          <w:b/>
          <w:bCs/>
        </w:rPr>
        <w:t xml:space="preserve">Business glossary and semantic layer:</w:t>
      </w:r>
      <w:r>
        <w:rPr>
          <w:b w:val="false"/>
          <w:bCs w:val="false"/>
        </w:rPr>
        <w:t xml:space="preserve"> consistent definitions of metrics and entities (for example, what counts as an active customer) that models and agents can query.</w:t>
      </w:r>
    </w:p>
    <w:p>
      <w:pPr>
        <w:pStyle w:val="ListParagraph"/>
        <w:numPr>
          <w:ilvl w:val="0"/>
          <w:numId w:val="3"/>
        </w:numPr>
        <w:spacing w:after="60"/>
      </w:pPr>
      <w:r>
        <w:rPr>
          <w:b w:val="false"/>
          <w:bCs w:val="false"/>
        </w:rPr>
        <w:t xml:space="preserve"/>
      </w:r>
      <w:r>
        <w:rPr>
          <w:b/>
          <w:bCs/>
        </w:rPr>
        <w:t xml:space="preserve">Knowledge graphs:</w:t>
      </w:r>
      <w:r>
        <w:rPr>
          <w:b w:val="false"/>
          <w:bCs w:val="false"/>
        </w:rPr>
        <w:t xml:space="preserve"> explicit relationships between entities (customers, products, contracts, people) to support multi-step reasoning and reduce confabulation.</w:t>
      </w:r>
    </w:p>
    <w:p>
      <w:pPr>
        <w:pStyle w:val="ListParagraph"/>
        <w:numPr>
          <w:ilvl w:val="0"/>
          <w:numId w:val="3"/>
        </w:numPr>
        <w:spacing w:after="60"/>
      </w:pPr>
      <w:r>
        <w:rPr>
          <w:b w:val="false"/>
          <w:bCs w:val="false"/>
        </w:rPr>
        <w:t xml:space="preserve"/>
      </w:r>
      <w:r>
        <w:rPr>
          <w:b/>
          <w:bCs/>
        </w:rPr>
        <w:t xml:space="preserve">Data products:</w:t>
      </w:r>
      <w:r>
        <w:rPr>
          <w:b w:val="false"/>
          <w:bCs w:val="false"/>
        </w:rPr>
        <w:t xml:space="preserve"> domain-owned, documented, quality-assured datasets with clear service levels, designed for reuse across use cases.</w:t>
      </w:r>
    </w:p>
    <w:p>
      <w:pPr>
        <w:pStyle w:val="ListParagraph"/>
        <w:numPr>
          <w:ilvl w:val="0"/>
          <w:numId w:val="3"/>
        </w:numPr>
        <w:spacing w:after="60"/>
      </w:pPr>
      <w:r>
        <w:rPr>
          <w:b w:val="false"/>
          <w:bCs w:val="false"/>
        </w:rPr>
        <w:t xml:space="preserve"/>
      </w:r>
      <w:r>
        <w:rPr>
          <w:b/>
          <w:bCs/>
        </w:rPr>
        <w:t xml:space="preserve">Metadata as a first-class asset:</w:t>
      </w:r>
      <w:r>
        <w:rPr>
          <w:b w:val="false"/>
          <w:bCs w:val="false"/>
        </w:rPr>
        <w:t xml:space="preserve"> rich, current metadata improves retrieval, governance and agent tool selection.</w:t>
      </w:r>
    </w:p>
    <w:p>
      <w:pPr>
        <w:pStyle w:val="Heading2"/>
      </w:pPr>
      <w:r>
        <w:t xml:space="preserve">6.4 Data governance, privacy and sovereignty</w:t>
      </w:r>
    </w:p>
    <w:p>
      <w:pPr>
        <w:pStyle w:val="ListParagraph"/>
        <w:numPr>
          <w:ilvl w:val="0"/>
          <w:numId w:val="3"/>
        </w:numPr>
        <w:spacing w:after="60"/>
      </w:pPr>
      <w:r>
        <w:rPr>
          <w:b w:val="false"/>
          <w:bCs w:val="false"/>
        </w:rPr>
        <w:t xml:space="preserve"/>
      </w:r>
      <w:r>
        <w:rPr>
          <w:b/>
          <w:bCs/>
        </w:rPr>
        <w:t xml:space="preserve">Classification:</w:t>
      </w:r>
      <w:r>
        <w:rPr>
          <w:b w:val="false"/>
          <w:bCs w:val="false"/>
        </w:rPr>
        <w:t xml:space="preserve"> label data by sensitivity and define which classes may be used with which models and deployment options.</w:t>
      </w:r>
    </w:p>
    <w:p>
      <w:pPr>
        <w:pStyle w:val="ListParagraph"/>
        <w:numPr>
          <w:ilvl w:val="0"/>
          <w:numId w:val="3"/>
        </w:numPr>
        <w:spacing w:after="60"/>
      </w:pPr>
      <w:r>
        <w:rPr>
          <w:b w:val="false"/>
          <w:bCs w:val="false"/>
        </w:rPr>
        <w:t xml:space="preserve"/>
      </w:r>
      <w:r>
        <w:rPr>
          <w:b/>
          <w:bCs/>
        </w:rPr>
        <w:t xml:space="preserve">Personal data:</w:t>
      </w:r>
      <w:r>
        <w:rPr>
          <w:b w:val="false"/>
          <w:bCs w:val="false"/>
        </w:rPr>
        <w:t xml:space="preserve"> apply data minimisation, purpose limitation and lawful basis tests; redact or pseudonymise personal data where possible; run data protection impact assessments for high-risk processing.</w:t>
      </w:r>
    </w:p>
    <w:p>
      <w:pPr>
        <w:pStyle w:val="ListParagraph"/>
        <w:numPr>
          <w:ilvl w:val="0"/>
          <w:numId w:val="3"/>
        </w:numPr>
        <w:spacing w:after="60"/>
      </w:pPr>
      <w:r>
        <w:rPr>
          <w:b w:val="false"/>
          <w:bCs w:val="false"/>
        </w:rPr>
        <w:t xml:space="preserve"/>
      </w:r>
      <w:r>
        <w:rPr>
          <w:b/>
          <w:bCs/>
        </w:rPr>
        <w:t xml:space="preserve">Prompts and outputs are data:</w:t>
      </w:r>
      <w:r>
        <w:rPr>
          <w:b w:val="false"/>
          <w:bCs w:val="false"/>
        </w:rPr>
        <w:t xml:space="preserve"> decide how prompts, responses, agent traces and memory are logged, retained, protected and deleted.</w:t>
      </w:r>
    </w:p>
    <w:p>
      <w:pPr>
        <w:pStyle w:val="ListParagraph"/>
        <w:numPr>
          <w:ilvl w:val="0"/>
          <w:numId w:val="3"/>
        </w:numPr>
        <w:spacing w:after="60"/>
      </w:pPr>
      <w:r>
        <w:rPr>
          <w:b w:val="false"/>
          <w:bCs w:val="false"/>
        </w:rPr>
        <w:t xml:space="preserve"/>
      </w:r>
      <w:r>
        <w:rPr>
          <w:b/>
          <w:bCs/>
        </w:rPr>
        <w:t xml:space="preserve">Model provider terms:</w:t>
      </w:r>
      <w:r>
        <w:rPr>
          <w:b w:val="false"/>
          <w:bCs w:val="false"/>
        </w:rPr>
        <w:t xml:space="preserve"> confirm that inputs are not used to train third-party models without consent, and check where data is processed and stored.</w:t>
      </w:r>
    </w:p>
    <w:p>
      <w:pPr>
        <w:pStyle w:val="ListParagraph"/>
        <w:numPr>
          <w:ilvl w:val="0"/>
          <w:numId w:val="3"/>
        </w:numPr>
        <w:spacing w:after="60"/>
      </w:pPr>
      <w:r>
        <w:rPr>
          <w:b w:val="false"/>
          <w:bCs w:val="false"/>
        </w:rPr>
        <w:t xml:space="preserve"/>
      </w:r>
      <w:r>
        <w:rPr>
          <w:b/>
          <w:bCs/>
        </w:rPr>
        <w:t xml:space="preserve">Sovereignty and residency:</w:t>
      </w:r>
      <w:r>
        <w:rPr>
          <w:b w:val="false"/>
          <w:bCs w:val="false"/>
        </w:rPr>
        <w:t xml:space="preserve"> align deployment regions and providers with legal and contractual residency requirements.</w:t>
      </w:r>
    </w:p>
    <w:p>
      <w:pPr>
        <w:pStyle w:val="ListParagraph"/>
        <w:numPr>
          <w:ilvl w:val="0"/>
          <w:numId w:val="3"/>
        </w:numPr>
        <w:spacing w:after="60"/>
      </w:pPr>
      <w:r>
        <w:rPr>
          <w:b w:val="false"/>
          <w:bCs w:val="false"/>
        </w:rPr>
        <w:t xml:space="preserve"/>
      </w:r>
      <w:r>
        <w:rPr>
          <w:b/>
          <w:bCs/>
        </w:rPr>
        <w:t xml:space="preserve">Synthetic data:</w:t>
      </w:r>
      <w:r>
        <w:rPr>
          <w:b w:val="false"/>
          <w:bCs w:val="false"/>
        </w:rPr>
        <w:t xml:space="preserve"> useful for testing and evaluation where real data is restricted; validate it for realism and privacy leakage.</w:t>
      </w:r>
    </w:p>
    <w:p>
      <w:pPr>
        <w:pStyle w:val="Heading1"/>
      </w:pPr>
      <w:r>
        <w:t xml:space="preserve">7. Platform perspective and agentic AI</w:t>
      </w:r>
    </w:p>
    <w:p>
      <w:r>
        <w:rPr>
          <w:b w:val="false"/>
          <w:bCs w:val="false"/>
        </w:rPr>
        <w:t xml:space="preserve">The Platform perspective provides the shared technical foundation so that each new use case reuses proven components instead of rebuilding them. With agentic AI, the platform must also manage software that takes actions: calling tools, changing records and coordinating with other agents.</w:t>
      </w:r>
    </w:p>
    <w:p>
      <w:pPr>
        <w:pStyle w:val="Heading2"/>
      </w:pPr>
      <w:r>
        <w:t xml:space="preserve">7.1 Reference architecture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4200"/>
        <w:gridCol w:w="3138"/>
      </w:tblGrid>
      <w:tr>
        <w:trPr>
          <w:tblHeader/>
        </w:trPr>
        <w:tc>
          <w:tcPr>
            <w:tcW w:type="dxa" w:w="2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Layer</w:t>
            </w:r>
          </w:p>
        </w:tc>
        <w:tc>
          <w:tcPr>
            <w:tcW w:type="dxa" w:w="4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Capabilities</w:t>
            </w:r>
          </w:p>
        </w:tc>
        <w:tc>
          <w:tcPr>
            <w:tcW w:type="dxa" w:w="31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Key design choices</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Experience</w:t>
            </w:r>
          </w:p>
        </w:tc>
        <w:tc>
          <w:tcPr>
            <w:tcW w:type="dxa" w:w="4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Chat, embedded assistants in business applications, APIs, voice</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Meet users in existing tools; disclose AI use</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Agents and orchestration</w:t>
            </w:r>
          </w:p>
        </w:tc>
        <w:tc>
          <w:tcPr>
            <w:tcW w:type="dxa" w:w="4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Agent runtime, workflow engine, memory, planning, human approval steps</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Deterministic workflow versus agent autonomy; framework choice</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Model access</w:t>
            </w:r>
          </w:p>
        </w:tc>
        <w:tc>
          <w:tcPr>
            <w:tcW w:type="dxa" w:w="4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Model gateway, routing, multiple model providers, fine-tuning</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Multi-model by default; avoid hard-coding a single model</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Knowledge and data</w:t>
            </w:r>
          </w:p>
        </w:tc>
        <w:tc>
          <w:tcPr>
            <w:tcW w:type="dxa" w:w="4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Retrieval, vector and keyword search, semantic layer, knowledge graph</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Permission-aware retrieval; freshness</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Tools and integration</w:t>
            </w:r>
          </w:p>
        </w:tc>
        <w:tc>
          <w:tcPr>
            <w:tcW w:type="dxa" w:w="4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Enterprise APIs, tool registry, Model Context Protocol (MCP) servers, agent-to-agent protocols</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Standard interfaces; least-privilege tool scopes</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Guardrails and policy</w:t>
            </w:r>
          </w:p>
        </w:tc>
        <w:tc>
          <w:tcPr>
            <w:tcW w:type="dxa" w:w="4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Input and output filtering, PII protection, topic controls, policy enforcement</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Centrally managed and versioned policies</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Evaluation and observability</w:t>
            </w:r>
          </w:p>
        </w:tc>
        <w:tc>
          <w:tcPr>
            <w:tcW w:type="dxa" w:w="4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Evaluation harness, tracing, quality, cost and safety dashboards</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Evaluation gates in the release pipeline</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Identity and security</w:t>
            </w:r>
          </w:p>
        </w:tc>
        <w:tc>
          <w:tcPr>
            <w:tcW w:type="dxa" w:w="4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User and agent identity, authorisation, secrets, encryption, audit</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Agents as first-class identities</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Infrastructure</w:t>
            </w:r>
          </w:p>
        </w:tc>
        <w:tc>
          <w:tcPr>
            <w:tcW w:type="dxa" w:w="4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Compute, accelerators, networking, deployment regions</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Elasticity, cost and residency</w:t>
            </w:r>
          </w:p>
        </w:tc>
      </w:tr>
    </w:tbl>
    <w:p>
      <w:pPr>
        <w:spacing w:after="120"/>
      </w:pPr>
    </w:p>
    <w:p>
      <w:pPr>
        <w:pStyle w:val="Heading2"/>
      </w:pPr>
      <w:r>
        <w:t xml:space="preserve">7.2 Model strategy: choose, do not marry</w:t>
      </w:r>
    </w:p>
    <w:p>
      <w:pPr>
        <w:pStyle w:val="ListParagraph"/>
        <w:numPr>
          <w:ilvl w:val="0"/>
          <w:numId w:val="3"/>
        </w:numPr>
        <w:spacing w:after="60"/>
      </w:pPr>
      <w:r>
        <w:rPr>
          <w:b w:val="false"/>
          <w:bCs w:val="false"/>
        </w:rPr>
        <w:t xml:space="preserve"/>
      </w:r>
      <w:r>
        <w:rPr>
          <w:b/>
          <w:bCs/>
        </w:rPr>
        <w:t xml:space="preserve">Select per task:</w:t>
      </w:r>
      <w:r>
        <w:rPr>
          <w:b w:val="false"/>
          <w:bCs w:val="false"/>
        </w:rPr>
        <w:t xml:space="preserve"> choose the smallest model that meets the quality, latency and cost requirements for each task, and re-test when new models are released.</w:t>
      </w:r>
    </w:p>
    <w:p>
      <w:pPr>
        <w:pStyle w:val="ListParagraph"/>
        <w:numPr>
          <w:ilvl w:val="0"/>
          <w:numId w:val="3"/>
        </w:numPr>
        <w:spacing w:after="60"/>
      </w:pPr>
      <w:r>
        <w:rPr>
          <w:b w:val="false"/>
          <w:bCs w:val="false"/>
        </w:rPr>
        <w:t xml:space="preserve"/>
      </w:r>
      <w:r>
        <w:rPr>
          <w:b/>
          <w:bCs/>
        </w:rPr>
        <w:t xml:space="preserve">Abstract the model:</w:t>
      </w:r>
      <w:r>
        <w:rPr>
          <w:b w:val="false"/>
          <w:bCs w:val="false"/>
        </w:rPr>
        <w:t xml:space="preserve"> use a gateway so models can be swapped without rewriting applications; keep prompts and evaluation sets portable.</w:t>
      </w:r>
    </w:p>
    <w:p>
      <w:pPr>
        <w:pStyle w:val="ListParagraph"/>
        <w:numPr>
          <w:ilvl w:val="0"/>
          <w:numId w:val="3"/>
        </w:numPr>
        <w:spacing w:after="60"/>
      </w:pPr>
      <w:r>
        <w:rPr>
          <w:b w:val="false"/>
          <w:bCs w:val="false"/>
        </w:rPr>
        <w:t xml:space="preserve"/>
      </w:r>
      <w:r>
        <w:rPr>
          <w:b/>
          <w:bCs/>
        </w:rPr>
        <w:t xml:space="preserve">Customise in order of effort:</w:t>
      </w:r>
      <w:r>
        <w:rPr>
          <w:b w:val="false"/>
          <w:bCs w:val="false"/>
        </w:rPr>
        <w:t xml:space="preserve"> prompt design first, then retrieval, then fine-tuning or distillation only when evidence shows a need.</w:t>
      </w:r>
    </w:p>
    <w:p>
      <w:pPr>
        <w:pStyle w:val="ListParagraph"/>
        <w:numPr>
          <w:ilvl w:val="0"/>
          <w:numId w:val="3"/>
        </w:numPr>
        <w:spacing w:after="60"/>
      </w:pPr>
      <w:r>
        <w:rPr>
          <w:b w:val="false"/>
          <w:bCs w:val="false"/>
        </w:rPr>
        <w:t xml:space="preserve"/>
      </w:r>
      <w:r>
        <w:rPr>
          <w:b/>
          <w:bCs/>
        </w:rPr>
        <w:t xml:space="preserve">Build, buy or partner:</w:t>
      </w:r>
      <w:r>
        <w:rPr>
          <w:b w:val="false"/>
          <w:bCs w:val="false"/>
        </w:rPr>
        <w:t xml:space="preserve"> buy for commodity capabilities (for example, productivity assistants); build where AI is a differentiator or uses proprietary data; partner to accelerate, but keep ownership of architecture, data and evaluations.</w:t>
      </w:r>
    </w:p>
    <w:p>
      <w:pPr>
        <w:pStyle w:val="Heading2"/>
      </w:pPr>
      <w:r>
        <w:t xml:space="preserve">7.3 Agentic AI: levels of autonomy</w:t>
      </w:r>
    </w:p>
    <w:p>
      <w:r>
        <w:rPr>
          <w:b w:val="false"/>
          <w:bCs w:val="false"/>
        </w:rPr>
        <w:t xml:space="preserve">An AI agent is a system that pursues a goal by planning, using tools and taking actions, with some degree of independence. Autonomy is a design choice, not a goal in itself. Gartner research stresses that agent success depends on reliability rather than autonomy, and it predicts that around 40% of agentic AI projects will be cancelled by the end of 2027. The safest route to value is to grant the least autonomy that delivers the outcome and to increase it only with evidence.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700"/>
        <w:gridCol w:w="3000"/>
        <w:gridCol w:w="2200"/>
        <w:gridCol w:w="2038"/>
      </w:tblGrid>
      <w:tr>
        <w:trPr>
          <w:tblHeader/>
        </w:trPr>
        <w:tc>
          <w:tcPr>
            <w:tcW w:type="dxa" w:w="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L</w:t>
            </w:r>
          </w:p>
        </w:tc>
        <w:tc>
          <w:tcPr>
            <w:tcW w:type="dxa" w:w="1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Mode</w:t>
            </w:r>
          </w:p>
        </w:tc>
        <w:tc>
          <w:tcPr>
            <w:tcW w:type="dxa" w:w="3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Description</w:t>
            </w:r>
          </w:p>
        </w:tc>
        <w:tc>
          <w:tcPr>
            <w:tcW w:type="dxa" w:w="2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Example</w:t>
            </w:r>
          </w:p>
        </w:tc>
        <w:tc>
          <w:tcPr>
            <w:tcW w:type="dxa" w:w="20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Oversight required</w:t>
            </w:r>
          </w:p>
        </w:tc>
      </w:tr>
      <w:tr>
        <w:tc>
          <w:tcPr>
            <w:tcW w:type="dxa" w:w="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0</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Assist</w:t>
            </w:r>
          </w:p>
        </w:tc>
        <w:tc>
          <w:tcPr>
            <w:tcW w:type="dxa" w:w="3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AI suggests; the human does all the work and makes every decision</w:t>
            </w:r>
          </w:p>
        </w:tc>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Drafting an email reply</w:t>
            </w:r>
          </w:p>
        </w:tc>
        <w:tc>
          <w:tcPr>
            <w:tcW w:type="dxa" w:w="2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User judgement</w:t>
            </w:r>
          </w:p>
        </w:tc>
      </w:tr>
      <w:tr>
        <w:tc>
          <w:tcPr>
            <w:tcW w:type="dxa" w:w="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1</w:t>
            </w:r>
          </w:p>
        </w:tc>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Copilot</w:t>
            </w:r>
          </w:p>
        </w:tc>
        <w:tc>
          <w:tcPr>
            <w:tcW w:type="dxa" w:w="3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AI prepares actions; a human approves each one before it runs</w:t>
            </w:r>
          </w:p>
        </w:tc>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Proposing a refund for an agent to approve</w:t>
            </w:r>
          </w:p>
        </w:tc>
        <w:tc>
          <w:tcPr>
            <w:tcW w:type="dxa" w:w="2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Approval of every action</w:t>
            </w:r>
          </w:p>
        </w:tc>
      </w:tr>
      <w:tr>
        <w:tc>
          <w:tcPr>
            <w:tcW w:type="dxa" w:w="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2</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Supervised agent</w:t>
            </w:r>
          </w:p>
        </w:tc>
        <w:tc>
          <w:tcPr>
            <w:tcW w:type="dxa" w:w="3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AI acts within a bounded task; a human approves high-impact or irreversible steps</w:t>
            </w:r>
          </w:p>
        </w:tc>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Resolving routine service tickets end to end</w:t>
            </w:r>
          </w:p>
        </w:tc>
        <w:tc>
          <w:tcPr>
            <w:tcW w:type="dxa" w:w="2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Approval gates; sampling</w:t>
            </w:r>
          </w:p>
        </w:tc>
      </w:tr>
      <w:tr>
        <w:tc>
          <w:tcPr>
            <w:tcW w:type="dxa" w:w="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3</w:t>
            </w:r>
          </w:p>
        </w:tc>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Autonomous within guardrails</w:t>
            </w:r>
          </w:p>
        </w:tc>
        <w:tc>
          <w:tcPr>
            <w:tcW w:type="dxa" w:w="3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AI acts independently within policy; humans monitor and handle exceptions</w:t>
            </w:r>
          </w:p>
        </w:tc>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Reconciling invoices under a value threshold</w:t>
            </w:r>
          </w:p>
        </w:tc>
        <w:tc>
          <w:tcPr>
            <w:tcW w:type="dxa" w:w="2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Exception handling; runtime controls</w:t>
            </w:r>
          </w:p>
        </w:tc>
      </w:tr>
      <w:tr>
        <w:tc>
          <w:tcPr>
            <w:tcW w:type="dxa" w:w="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4</w:t>
            </w:r>
          </w:p>
        </w:tc>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Multi-agent autonomy</w:t>
            </w:r>
          </w:p>
        </w:tc>
        <w:tc>
          <w:tcPr>
            <w:tcW w:type="dxa" w:w="3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Agents coordinate with each other towards goals set by humans</w:t>
            </w:r>
          </w:p>
        </w:tc>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Supply-chain replanning across functions</w:t>
            </w:r>
          </w:p>
        </w:tc>
        <w:tc>
          <w:tcPr>
            <w:tcW w:type="dxa" w:w="2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Goal setting; continuous assurance</w:t>
            </w:r>
          </w:p>
        </w:tc>
      </w:tr>
    </w:tbl>
    <w:p>
      <w:pPr>
        <w:spacing w:after="120"/>
      </w:pPr>
    </w:p>
    <w:p>
      <w:pPr>
        <w:pStyle w:val="Heading2"/>
      </w:pPr>
      <w:r>
        <w:t xml:space="preserve">7.4 Agent design patterns</w:t>
      </w:r>
    </w:p>
    <w:p>
      <w:r>
        <w:rPr>
          <w:b w:val="false"/>
          <w:bCs w:val="false"/>
        </w:rPr>
        <w:t xml:space="preserve">Prefer the simplest pattern that works. Many successful agentic solutions are mostly deterministic workflows with model-driven steps, which are easier to test, explain and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4300"/>
        <w:gridCol w:w="2938"/>
      </w:tblGrid>
      <w:tr>
        <w:trPr>
          <w:tblHeader/>
        </w:trPr>
        <w:tc>
          <w:tcPr>
            <w:tcW w:type="dxa" w:w="2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Pattern</w:t>
            </w:r>
          </w:p>
        </w:tc>
        <w:tc>
          <w:tcPr>
            <w:tcW w:type="dxa" w:w="4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How it works</w:t>
            </w:r>
          </w:p>
        </w:tc>
        <w:tc>
          <w:tcPr>
            <w:tcW w:type="dxa" w:w="29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Use when</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Workflow with AI steps</w:t>
            </w:r>
          </w:p>
        </w:tc>
        <w:tc>
          <w:tcPr>
            <w:tcW w:type="dxa" w:w="4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 fixed sequence of steps, some of which call a model (for example, classify, extract, draft)</w:t>
            </w:r>
          </w:p>
        </w:tc>
        <w:tc>
          <w:tcPr>
            <w:tcW w:type="dxa" w:w="2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The process is well understood and must be predictable</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Router</w:t>
            </w:r>
          </w:p>
        </w:tc>
        <w:tc>
          <w:tcPr>
            <w:tcW w:type="dxa" w:w="4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 model classifies the request and sends it to the right specialist workflow or agent</w:t>
            </w:r>
          </w:p>
        </w:tc>
        <w:tc>
          <w:tcPr>
            <w:tcW w:type="dxa" w:w="2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Many request types need different handling</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Single agent with tools</w:t>
            </w:r>
          </w:p>
        </w:tc>
        <w:tc>
          <w:tcPr>
            <w:tcW w:type="dxa" w:w="4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One agent reasons and calls a defined set of tools in a loop until the goal is met</w:t>
            </w:r>
          </w:p>
        </w:tc>
        <w:tc>
          <w:tcPr>
            <w:tcW w:type="dxa" w:w="2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Tasks vary but the tool set is small and well defined</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Planner and executor</w:t>
            </w:r>
          </w:p>
        </w:tc>
        <w:tc>
          <w:tcPr>
            <w:tcW w:type="dxa" w:w="4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One component plans the steps; others carry them out and report back</w:t>
            </w:r>
          </w:p>
        </w:tc>
        <w:tc>
          <w:tcPr>
            <w:tcW w:type="dxa" w:w="2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Long, multi-step tasks that need decomposition</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Supervisor and specialists</w:t>
            </w:r>
          </w:p>
        </w:tc>
        <w:tc>
          <w:tcPr>
            <w:tcW w:type="dxa" w:w="4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 coordinating agent delegates to specialised agents and combines results</w:t>
            </w:r>
          </w:p>
        </w:tc>
        <w:tc>
          <w:tcPr>
            <w:tcW w:type="dxa" w:w="29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Complex work spanning several domains</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Human checkpoint</w:t>
            </w:r>
          </w:p>
        </w:tc>
        <w:tc>
          <w:tcPr>
            <w:tcW w:type="dxa" w:w="4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The workflow pauses for human review at defined points</w:t>
            </w:r>
          </w:p>
        </w:tc>
        <w:tc>
          <w:tcPr>
            <w:tcW w:type="dxa" w:w="29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Any irreversible, high-value or regulated action</w:t>
            </w:r>
          </w:p>
        </w:tc>
      </w:tr>
    </w:tbl>
    <w:p>
      <w:pPr>
        <w:spacing w:after="120"/>
      </w:pPr>
    </w:p>
    <w:p>
      <w:pPr>
        <w:pStyle w:val="Heading2"/>
      </w:pPr>
      <w:r>
        <w:t xml:space="preserve">7.5 Interoperability and standards</w:t>
      </w:r>
    </w:p>
    <w:p>
      <w:pPr>
        <w:pStyle w:val="ListParagraph"/>
        <w:numPr>
          <w:ilvl w:val="0"/>
          <w:numId w:val="3"/>
        </w:numPr>
        <w:spacing w:after="60"/>
      </w:pPr>
      <w:r>
        <w:rPr>
          <w:b w:val="false"/>
          <w:bCs w:val="false"/>
        </w:rPr>
        <w:t xml:space="preserve"/>
      </w:r>
      <w:r>
        <w:rPr>
          <w:b/>
          <w:bCs/>
        </w:rPr>
        <w:t xml:space="preserve">Model Context Protocol (MCP):</w:t>
      </w:r>
      <w:r>
        <w:rPr>
          <w:b w:val="false"/>
          <w:bCs w:val="false"/>
        </w:rPr>
        <w:t xml:space="preserve"> an open protocol for connecting models and agents to tools and data sources through a standard interface. Treat each MCP server as a third-party component that needs vetting, scoping and monitoring.</w:t>
      </w:r>
    </w:p>
    <w:p>
      <w:pPr>
        <w:pStyle w:val="ListParagraph"/>
        <w:numPr>
          <w:ilvl w:val="0"/>
          <w:numId w:val="3"/>
        </w:numPr>
        <w:spacing w:after="60"/>
      </w:pPr>
      <w:r>
        <w:rPr>
          <w:b w:val="false"/>
          <w:bCs w:val="false"/>
        </w:rPr>
        <w:t xml:space="preserve"/>
      </w:r>
      <w:r>
        <w:rPr>
          <w:b/>
          <w:bCs/>
        </w:rPr>
        <w:t xml:space="preserve">Agent-to-agent protocols (for example, A2A):</w:t>
      </w:r>
      <w:r>
        <w:rPr>
          <w:b w:val="false"/>
          <w:bCs w:val="false"/>
        </w:rPr>
        <w:t xml:space="preserve"> emerging standards for agents to discover each other and exchange tasks across platforms and vendors.</w:t>
      </w:r>
    </w:p>
    <w:p>
      <w:pPr>
        <w:pStyle w:val="ListParagraph"/>
        <w:numPr>
          <w:ilvl w:val="0"/>
          <w:numId w:val="3"/>
        </w:numPr>
        <w:spacing w:after="60"/>
      </w:pPr>
      <w:r>
        <w:rPr>
          <w:b w:val="false"/>
          <w:bCs w:val="false"/>
        </w:rPr>
        <w:t xml:space="preserve"/>
      </w:r>
      <w:r>
        <w:rPr>
          <w:b/>
          <w:bCs/>
        </w:rPr>
        <w:t xml:space="preserve">Registries:</w:t>
      </w:r>
      <w:r>
        <w:rPr>
          <w:b w:val="false"/>
          <w:bCs w:val="false"/>
        </w:rPr>
        <w:t xml:space="preserve"> maintain a tool registry and an agent registry recording owners, versions, permissions and approval status, linked to the AI inventory (Section 5.8).</w:t>
      </w:r>
    </w:p>
    <w:p>
      <w:pPr>
        <w:pStyle w:val="ListParagraph"/>
        <w:numPr>
          <w:ilvl w:val="0"/>
          <w:numId w:val="3"/>
        </w:numPr>
        <w:spacing w:after="60"/>
      </w:pPr>
      <w:r>
        <w:rPr>
          <w:b w:val="false"/>
          <w:bCs w:val="false"/>
        </w:rPr>
        <w:t xml:space="preserve"/>
      </w:r>
      <w:r>
        <w:rPr>
          <w:b/>
          <w:bCs/>
        </w:rPr>
        <w:t xml:space="preserve">Open telemetry:</w:t>
      </w:r>
      <w:r>
        <w:rPr>
          <w:b w:val="false"/>
          <w:bCs w:val="false"/>
        </w:rPr>
        <w:t xml:space="preserve"> emit traces in open formats so observability is not tied to one vendor (Section 9.3).</w:t>
      </w:r>
    </w:p>
    <w:p>
      <w:pPr>
        <w:pStyle w:val="Heading2"/>
      </w:pPr>
      <w:r>
        <w:t xml:space="preserve">7.6 The agent control plane</w:t>
      </w:r>
    </w:p>
    <w:p>
      <w:r>
        <w:rPr>
          <w:b w:val="false"/>
          <w:bCs w:val="false"/>
        </w:rPr>
        <w:t xml:space="preserve">Gartner predicts that by 2029 at least 70% of organisations running production agentic AI in infrastructure and operations will experience a material service, security or cost incident linked in part to insufficient runtime controls. Policies on paper are not enough: agents need technical controls at runtime. Before granting any agent write access to business systems, put these controls in place: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7138"/>
      </w:tblGrid>
      <w:tr>
        <w:trPr>
          <w:tblHeader/>
        </w:trPr>
        <w:tc>
          <w:tcPr>
            <w:tcW w:type="dxa" w:w="25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Control</w:t>
            </w:r>
          </w:p>
        </w:tc>
        <w:tc>
          <w:tcPr>
            <w:tcW w:type="dxa" w:w="71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What it provides</w:t>
            </w:r>
          </w:p>
        </w:tc>
      </w:tr>
      <w:tr>
        <w:tc>
          <w:tcPr>
            <w:tcW w:type="dxa" w:w="2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Agent identity</w:t>
            </w:r>
          </w:p>
        </w:tc>
        <w:tc>
          <w:tcPr>
            <w:tcW w:type="dxa" w:w="7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Each agent has its own identity, distinct from users and other agents, so its actions are attributable</w:t>
            </w:r>
          </w:p>
        </w:tc>
      </w:tr>
      <w:tr>
        <w:tc>
          <w:tcPr>
            <w:tcW w:type="dxa" w:w="2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Scoped permissions</w:t>
            </w:r>
          </w:p>
        </w:tc>
        <w:tc>
          <w:tcPr>
            <w:tcW w:type="dxa" w:w="7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Least-privilege access to tools and data; act on behalf of the user only within that user’s entitlements</w:t>
            </w:r>
          </w:p>
        </w:tc>
      </w:tr>
      <w:tr>
        <w:tc>
          <w:tcPr>
            <w:tcW w:type="dxa" w:w="2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Policy enforcement</w:t>
            </w:r>
          </w:p>
        </w:tc>
        <w:tc>
          <w:tcPr>
            <w:tcW w:type="dxa" w:w="7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Rules checked at runtime before tool calls run (for example, value limits and forbidden actions)</w:t>
            </w:r>
          </w:p>
        </w:tc>
      </w:tr>
      <w:tr>
        <w:tc>
          <w:tcPr>
            <w:tcW w:type="dxa" w:w="2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Human approval gates</w:t>
            </w:r>
          </w:p>
        </w:tc>
        <w:tc>
          <w:tcPr>
            <w:tcW w:type="dxa" w:w="7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Mandatory approval for irreversible, high-value or sensitive actions</w:t>
            </w:r>
          </w:p>
        </w:tc>
      </w:tr>
      <w:tr>
        <w:tc>
          <w:tcPr>
            <w:tcW w:type="dxa" w:w="2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Budgets and limits</w:t>
            </w:r>
          </w:p>
        </w:tc>
        <w:tc>
          <w:tcPr>
            <w:tcW w:type="dxa" w:w="7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Caps on steps, tool calls, tokens, spend and time per task</w:t>
            </w:r>
          </w:p>
        </w:tc>
      </w:tr>
      <w:tr>
        <w:tc>
          <w:tcPr>
            <w:tcW w:type="dxa" w:w="2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Kill switch and rollback</w:t>
            </w:r>
          </w:p>
        </w:tc>
        <w:tc>
          <w:tcPr>
            <w:tcW w:type="dxa" w:w="7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Ability to pause an agent instantly and reverse its actions where possible</w:t>
            </w:r>
          </w:p>
        </w:tc>
      </w:tr>
      <w:tr>
        <w:tc>
          <w:tcPr>
            <w:tcW w:type="dxa" w:w="2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Full audit trail</w:t>
            </w:r>
          </w:p>
        </w:tc>
        <w:tc>
          <w:tcPr>
            <w:tcW w:type="dxa" w:w="7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Traces of goals, reasoning steps, tool calls, inputs, outputs and approvals</w:t>
            </w:r>
          </w:p>
        </w:tc>
      </w:tr>
      <w:tr>
        <w:tc>
          <w:tcPr>
            <w:tcW w:type="dxa" w:w="2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Versioning</w:t>
            </w:r>
          </w:p>
        </w:tc>
        <w:tc>
          <w:tcPr>
            <w:tcW w:type="dxa" w:w="7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Agents, prompts, tools and policies are versioned, tested and released through a pipeline</w:t>
            </w:r>
          </w:p>
        </w:tc>
      </w:tr>
    </w:tbl>
    <w:p>
      <w:pPr>
        <w:spacing w:after="120"/>
      </w:pPr>
    </w:p>
    <w:p>
      <w:pPr>
        <w:pStyle w:val="Heading2"/>
      </w:pPr>
      <w:r>
        <w:t xml:space="preserve">7.7 Avoiding the common traps</w:t>
      </w:r>
    </w:p>
    <w:p>
      <w:pPr>
        <w:pStyle w:val="ListParagraph"/>
        <w:numPr>
          <w:ilvl w:val="0"/>
          <w:numId w:val="3"/>
        </w:numPr>
        <w:spacing w:after="60"/>
      </w:pPr>
      <w:r>
        <w:rPr>
          <w:b w:val="false"/>
          <w:bCs w:val="false"/>
        </w:rPr>
        <w:t xml:space="preserve"/>
      </w:r>
      <w:r>
        <w:rPr>
          <w:b/>
          <w:bCs/>
        </w:rPr>
        <w:t xml:space="preserve">Agent-washing:</w:t>
      </w:r>
      <w:r>
        <w:rPr>
          <w:b w:val="false"/>
          <w:bCs w:val="false"/>
        </w:rPr>
        <w:t xml:space="preserve"> many products are marketed as agentic but are chatbots or scripted automation. Assess what a product actually does autonomously and how it is controlled.</w:t>
      </w:r>
    </w:p>
    <w:p>
      <w:pPr>
        <w:pStyle w:val="ListParagraph"/>
        <w:numPr>
          <w:ilvl w:val="0"/>
          <w:numId w:val="3"/>
        </w:numPr>
        <w:spacing w:after="60"/>
      </w:pPr>
      <w:r>
        <w:rPr>
          <w:b w:val="false"/>
          <w:bCs w:val="false"/>
        </w:rPr>
        <w:t xml:space="preserve"/>
      </w:r>
      <w:r>
        <w:rPr>
          <w:b/>
          <w:bCs/>
        </w:rPr>
        <w:t xml:space="preserve">Dependency on outside builders:</w:t>
      </w:r>
      <w:r>
        <w:rPr>
          <w:b w:val="false"/>
          <w:bCs w:val="false"/>
        </w:rPr>
        <w:t xml:space="preserve"> Gartner predicts that by 2028, 70% of enterprises will abandon agentic AI built by vendor forward-deployed engineering teams, because of rising costs and an inability to evolve it themselves. Build internal capability alongside any partner, and own the architecture, data, prompts and evaluations.</w:t>
      </w:r>
    </w:p>
    <w:p>
      <w:pPr>
        <w:pStyle w:val="ListParagraph"/>
        <w:numPr>
          <w:ilvl w:val="0"/>
          <w:numId w:val="3"/>
        </w:numPr>
        <w:spacing w:after="60"/>
      </w:pPr>
      <w:r>
        <w:rPr>
          <w:b w:val="false"/>
          <w:bCs w:val="false"/>
        </w:rPr>
        <w:t xml:space="preserve"/>
      </w:r>
      <w:r>
        <w:rPr>
          <w:b/>
          <w:bCs/>
        </w:rPr>
        <w:t xml:space="preserve">Cost escalation:</w:t>
      </w:r>
      <w:r>
        <w:rPr>
          <w:b w:val="false"/>
          <w:bCs w:val="false"/>
        </w:rPr>
        <w:t xml:space="preserve"> agent loops can multiply model calls. Model the unit cost before scaling and enforce budgets (Section 3.5).</w:t>
      </w:r>
    </w:p>
    <w:p>
      <w:pPr>
        <w:pStyle w:val="ListParagraph"/>
        <w:numPr>
          <w:ilvl w:val="0"/>
          <w:numId w:val="3"/>
        </w:numPr>
        <w:spacing w:after="60"/>
      </w:pPr>
      <w:r>
        <w:rPr>
          <w:b w:val="false"/>
          <w:bCs w:val="false"/>
        </w:rPr>
        <w:t xml:space="preserve"/>
      </w:r>
      <w:r>
        <w:rPr>
          <w:b/>
          <w:bCs/>
        </w:rPr>
        <w:t xml:space="preserve">Autonomy before reliability:</w:t>
      </w:r>
      <w:r>
        <w:rPr>
          <w:b w:val="false"/>
          <w:bCs w:val="false"/>
        </w:rPr>
        <w:t xml:space="preserve"> do not move an agent up an autonomy level until evaluation shows it performs reliably at the current one.</w:t>
      </w:r>
    </w:p>
    <w:p>
      <w:pPr>
        <w:pStyle w:val="Heading1"/>
      </w:pPr>
      <w:r>
        <w:t xml:space="preserve">8. Security perspective</w:t>
      </w:r>
    </w:p>
    <w:p>
      <w:r>
        <w:rPr>
          <w:b w:val="false"/>
          <w:bCs w:val="false"/>
        </w:rPr>
        <w:t xml:space="preserve">AI inherits every traditional security requirement and adds new ones. Language models cannot reliably separate instructions from data, so any content they read (a web page, an email or a document) can try to steer them. Agents raise the stakes because a manipulated agent can take actions, not just produce text. Security must therefore cover the model, the data, the tools and the agent’s identity.</w:t>
      </w:r>
    </w:p>
    <w:p>
      <w:pPr>
        <w:pStyle w:val="Heading2"/>
      </w:pPr>
      <w:r>
        <w:t xml:space="preserve">8.1 The AI threat landscape</w:t>
      </w:r>
    </w:p>
    <w:p>
      <w:r>
        <w:rPr>
          <w:b w:val="false"/>
          <w:bCs w:val="false"/>
        </w:rPr>
        <w:t xml:space="preserve">The OWASP Top 10 for Large Language Model Applications (2025) is the most widely used reference for AI application risks. OWASP has also published a Top 10 for agentic applications covering risks such as goal hijacking, tool misuse, identity and privilege abuse, memory poisoning and cascading failures across agents. MITRE ATLAS catalogues real-world adversary techniques against AI systems.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3700"/>
        <w:gridCol w:w="3338"/>
      </w:tblGrid>
      <w:tr>
        <w:trPr>
          <w:tblHeader/>
        </w:trPr>
        <w:tc>
          <w:tcPr>
            <w:tcW w:type="dxa" w:w="2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Threat (OWASP LLM 2025)</w:t>
            </w:r>
          </w:p>
        </w:tc>
        <w:tc>
          <w:tcPr>
            <w:tcW w:type="dxa" w:w="3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What it means</w:t>
            </w:r>
          </w:p>
        </w:tc>
        <w:tc>
          <w:tcPr>
            <w:tcW w:type="dxa" w:w="33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Key controls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Prompt injection</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Direct or hidden (indirect) instructions in inputs or retrieved content that hijack model behaviour</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Treat all external content as untrusted; isolate instructions; output checks; least privilege</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Sensitive information disclosure</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The model reveals confidential, personal or proprietary data</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Permission-aware retrieval; PII filters; data minimisation</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Supply chain</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Compromised models, datasets, packages, plug-ins or MCP servers</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Vetted sources; signing; registries; dependency scanning</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Data and model poisoning</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Manipulated training, fine-tuning or retrieval data alters behaviour</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Data provenance; access controls on indexes; anomaly detection</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Improper output handling</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Model output passed unchecked into code, queries or other systems</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Validate and encode outputs; never execute output directly</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Excessive agency</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Agents with more permissions, functions or autonomy than needed</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Least privilege; approval gates; scoped tools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System prompt leakage</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Exposure of instructions that contain secrets or logic</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No secrets in prompts; enforce controls outside the prompt</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Vector and embedding weaknesses</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Attacks on or leakage from retrieval stores</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Tenant isolation; access control on vector stores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Misinformation</w:t>
            </w:r>
          </w:p>
        </w:tc>
        <w:tc>
          <w:tcPr>
            <w:tcW w:type="dxa" w:w="3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False outputs presented as fact and relied upon</w:t>
            </w:r>
          </w:p>
        </w:tc>
        <w:tc>
          <w:tcPr>
            <w:tcW w:type="dxa" w:w="3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Grounding; citations; human review for high-impact use</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Unbounded consumption</w:t>
            </w:r>
          </w:p>
        </w:tc>
        <w:tc>
          <w:tcPr>
            <w:tcW w:type="dxa" w:w="3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Excessive usage causing cost blow-outs or denial of service</w:t>
            </w:r>
          </w:p>
        </w:tc>
        <w:tc>
          <w:tcPr>
            <w:tcW w:type="dxa" w:w="3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Rate limits; quotas; budget alerts</w:t>
            </w:r>
          </w:p>
        </w:tc>
      </w:tr>
    </w:tbl>
    <w:p>
      <w:pPr>
        <w:spacing w:after="120"/>
      </w:pPr>
    </w:p>
    <w:p>
      <w:pPr>
        <w:pStyle w:val="Heading2"/>
      </w:pPr>
      <w:r>
        <w:t xml:space="preserve">8.2 Securing agents</w:t>
      </w:r>
    </w:p>
    <w:p>
      <w:pPr>
        <w:pStyle w:val="ListParagraph"/>
        <w:numPr>
          <w:ilvl w:val="0"/>
          <w:numId w:val="7"/>
        </w:numPr>
        <w:spacing w:after="60"/>
      </w:pPr>
      <w:r>
        <w:rPr>
          <w:b w:val="false"/>
          <w:bCs w:val="false"/>
        </w:rPr>
        <w:t xml:space="preserve"/>
      </w:r>
      <w:r>
        <w:rPr>
          <w:b/>
          <w:bCs/>
        </w:rPr>
        <w:t xml:space="preserve">Give every agent an identity</w:t>
      </w:r>
      <w:r>
        <w:rPr>
          <w:b w:val="false"/>
          <w:bCs w:val="false"/>
        </w:rPr>
        <w:t xml:space="preserve"> and manage it like a privileged service account, using short-lived credentials and no shared secrets.</w:t>
      </w:r>
    </w:p>
    <w:p>
      <w:pPr>
        <w:pStyle w:val="ListParagraph"/>
        <w:numPr>
          <w:ilvl w:val="0"/>
          <w:numId w:val="7"/>
        </w:numPr>
        <w:spacing w:after="60"/>
      </w:pPr>
      <w:r>
        <w:rPr>
          <w:b w:val="false"/>
          <w:bCs w:val="false"/>
        </w:rPr>
        <w:t xml:space="preserve"/>
      </w:r>
      <w:r>
        <w:rPr>
          <w:b/>
          <w:bCs/>
        </w:rPr>
        <w:t xml:space="preserve">Apply least privilege to tools:</w:t>
      </w:r>
      <w:r>
        <w:rPr>
          <w:b w:val="false"/>
          <w:bCs w:val="false"/>
        </w:rPr>
        <w:t xml:space="preserve"> each agent gets only the tools and scopes its task needs, preferably read-only by default.</w:t>
      </w:r>
    </w:p>
    <w:p>
      <w:pPr>
        <w:pStyle w:val="ListParagraph"/>
        <w:numPr>
          <w:ilvl w:val="0"/>
          <w:numId w:val="7"/>
        </w:numPr>
        <w:spacing w:after="60"/>
      </w:pPr>
      <w:r>
        <w:rPr>
          <w:b w:val="false"/>
          <w:bCs w:val="false"/>
        </w:rPr>
        <w:t xml:space="preserve"/>
      </w:r>
      <w:r>
        <w:rPr>
          <w:b/>
          <w:bCs/>
        </w:rPr>
        <w:t xml:space="preserve">Act on behalf of users correctly:</w:t>
      </w:r>
      <w:r>
        <w:rPr>
          <w:b w:val="false"/>
          <w:bCs w:val="false"/>
        </w:rPr>
        <w:t xml:space="preserve"> when an agent acts for a user, enforce that user’s permissions, never broader agent permissions.</w:t>
      </w:r>
    </w:p>
    <w:p>
      <w:pPr>
        <w:pStyle w:val="ListParagraph"/>
        <w:numPr>
          <w:ilvl w:val="0"/>
          <w:numId w:val="7"/>
        </w:numPr>
        <w:spacing w:after="60"/>
      </w:pPr>
      <w:r>
        <w:rPr>
          <w:b w:val="false"/>
          <w:bCs w:val="false"/>
        </w:rPr>
        <w:t xml:space="preserve"/>
      </w:r>
      <w:r>
        <w:rPr>
          <w:b/>
          <w:bCs/>
        </w:rPr>
        <w:t xml:space="preserve">Gate irreversible actions</w:t>
      </w:r>
      <w:r>
        <w:rPr>
          <w:b w:val="false"/>
          <w:bCs w:val="false"/>
        </w:rPr>
        <w:t xml:space="preserve"> (payments, deletions, external communications, production changes) behind human approval or strict policy checks.</w:t>
      </w:r>
    </w:p>
    <w:p>
      <w:pPr>
        <w:pStyle w:val="ListParagraph"/>
        <w:numPr>
          <w:ilvl w:val="0"/>
          <w:numId w:val="7"/>
        </w:numPr>
        <w:spacing w:after="60"/>
      </w:pPr>
      <w:r>
        <w:rPr>
          <w:b w:val="false"/>
          <w:bCs w:val="false"/>
        </w:rPr>
        <w:t xml:space="preserve"/>
      </w:r>
      <w:r>
        <w:rPr>
          <w:b/>
          <w:bCs/>
        </w:rPr>
        <w:t xml:space="preserve">Sandbox execution</w:t>
      </w:r>
      <w:r>
        <w:rPr>
          <w:b w:val="false"/>
          <w:bCs w:val="false"/>
        </w:rPr>
        <w:t xml:space="preserve"> of generated code and isolate browsing and file handling.</w:t>
      </w:r>
    </w:p>
    <w:p>
      <w:pPr>
        <w:pStyle w:val="ListParagraph"/>
        <w:numPr>
          <w:ilvl w:val="0"/>
          <w:numId w:val="7"/>
        </w:numPr>
        <w:spacing w:after="60"/>
      </w:pPr>
      <w:r>
        <w:rPr>
          <w:b w:val="false"/>
          <w:bCs w:val="false"/>
        </w:rPr>
        <w:t xml:space="preserve"/>
      </w:r>
      <w:r>
        <w:rPr>
          <w:b/>
          <w:bCs/>
        </w:rPr>
        <w:t xml:space="preserve">Protect memory:</w:t>
      </w:r>
      <w:r>
        <w:rPr>
          <w:b w:val="false"/>
          <w:bCs w:val="false"/>
        </w:rPr>
        <w:t xml:space="preserve"> validate what agents store in long-term memory and allow it to be inspected and purged.</w:t>
      </w:r>
    </w:p>
    <w:p>
      <w:pPr>
        <w:pStyle w:val="ListParagraph"/>
        <w:numPr>
          <w:ilvl w:val="0"/>
          <w:numId w:val="7"/>
        </w:numPr>
        <w:spacing w:after="60"/>
      </w:pPr>
      <w:r>
        <w:rPr>
          <w:b w:val="false"/>
          <w:bCs w:val="false"/>
        </w:rPr>
        <w:t xml:space="preserve"/>
      </w:r>
      <w:r>
        <w:rPr>
          <w:b/>
          <w:bCs/>
        </w:rPr>
        <w:t xml:space="preserve">Vet third-party tools and MCP servers</w:t>
      </w:r>
      <w:r>
        <w:rPr>
          <w:b w:val="false"/>
          <w:bCs w:val="false"/>
        </w:rPr>
        <w:t xml:space="preserve"> as you would any software supplier, and pin approved versions.</w:t>
      </w:r>
    </w:p>
    <w:p>
      <w:pPr>
        <w:pStyle w:val="ListParagraph"/>
        <w:numPr>
          <w:ilvl w:val="0"/>
          <w:numId w:val="7"/>
        </w:numPr>
        <w:spacing w:after="60"/>
      </w:pPr>
      <w:r>
        <w:rPr>
          <w:b w:val="false"/>
          <w:bCs w:val="false"/>
        </w:rPr>
        <w:t xml:space="preserve"/>
      </w:r>
      <w:r>
        <w:rPr>
          <w:b/>
          <w:bCs/>
        </w:rPr>
        <w:t xml:space="preserve">Monitor behaviour</w:t>
      </w:r>
      <w:r>
        <w:rPr>
          <w:b w:val="false"/>
          <w:bCs w:val="false"/>
        </w:rPr>
        <w:t xml:space="preserve"> for anomalies such as unusual tool sequences, privilege use or data volumes, and alert your security operations team.</w:t>
      </w:r>
    </w:p>
    <w:p>
      <w:pPr>
        <w:pStyle w:val="Heading2"/>
      </w:pPr>
      <w:r>
        <w:t xml:space="preserve">8.3 AI TRiSM: trust, risk and security management</w:t>
      </w:r>
    </w:p>
    <w:p>
      <w:r>
        <w:rPr>
          <w:b w:val="false"/>
          <w:bCs w:val="false"/>
        </w:rPr>
        <w:t xml:space="preserve">Gartner’s AI TRiSM (AI trust, risk and security management) groups the technical capabilities needed to enforce AI governance policies into four layers. The top two are new to AI and are emerging as a distinct market segment.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Layer</w:t>
            </w:r>
          </w:p>
        </w:tc>
        <w:tc>
          <w:tcPr>
            <w:tcW w:type="dxa" w:w="70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Capabilities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AI governance</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Inventory of AI systems, models, agents and data; policy management; risk and compliance mapping; traceability</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AI runtime inspection and enforcement</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Real-time inspection of inputs, outputs and agent actions; blocking policy violations, injection attempts and data leakage</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Information governance</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Classification, access management and protection of the data that AI systems use</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Infrastructure and stack</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Traditional technology protection: network, endpoint, cloud, identity and workload security applied to AI workloads</w:t>
            </w:r>
          </w:p>
        </w:tc>
      </w:tr>
    </w:tbl>
    <w:p>
      <w:pPr>
        <w:spacing w:after="120"/>
      </w:pPr>
    </w:p>
    <w:p>
      <w:pPr>
        <w:pStyle w:val="Heading2"/>
      </w:pPr>
      <w:r>
        <w:t xml:space="preserve">8.4 Security control checklist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Before launch</w:t>
            </w:r>
            <w:r>
              <w:rPr>
                <w:b w:val="false"/>
                <w:bCs w:val="false"/>
                <w:sz w:val="17"/>
                <w:szCs w:val="17"/>
              </w:rPr>
              <w:t xml:space="preserve"/>
            </w:r>
          </w:p>
          <w:p>
            <w:pPr>
              <w:pStyle w:val="ListParagraph"/>
              <w:numPr>
                <w:ilvl w:val="0"/>
                <w:numId w:val="4"/>
              </w:numPr>
              <w:spacing w:after="30" w:line="252"/>
            </w:pPr>
            <w:r>
              <w:rPr>
                <w:b w:val="false"/>
                <w:bCs w:val="false"/>
                <w:sz w:val="17"/>
                <w:szCs w:val="17"/>
              </w:rPr>
              <w:t xml:space="preserve">AI threat model completed, including agent tools and data flows</w:t>
            </w:r>
          </w:p>
          <w:p>
            <w:pPr>
              <w:pStyle w:val="ListParagraph"/>
              <w:numPr>
                <w:ilvl w:val="0"/>
                <w:numId w:val="4"/>
              </w:numPr>
              <w:spacing w:after="30" w:line="252"/>
            </w:pPr>
            <w:r>
              <w:rPr>
                <w:b w:val="false"/>
                <w:bCs w:val="false"/>
                <w:sz w:val="17"/>
                <w:szCs w:val="17"/>
              </w:rPr>
              <w:t xml:space="preserve">Red team for injection, jailbreaks and data leakage</w:t>
            </w:r>
          </w:p>
          <w:p>
            <w:pPr>
              <w:pStyle w:val="ListParagraph"/>
              <w:numPr>
                <w:ilvl w:val="0"/>
                <w:numId w:val="4"/>
              </w:numPr>
              <w:spacing w:after="30" w:line="252"/>
            </w:pPr>
            <w:r>
              <w:rPr>
                <w:b w:val="false"/>
                <w:bCs w:val="false"/>
                <w:sz w:val="17"/>
                <w:szCs w:val="17"/>
              </w:rPr>
              <w:t xml:space="preserve">Guardrails configured and tested</w:t>
            </w:r>
          </w:p>
          <w:p>
            <w:pPr>
              <w:pStyle w:val="ListParagraph"/>
              <w:numPr>
                <w:ilvl w:val="0"/>
                <w:numId w:val="4"/>
              </w:numPr>
              <w:spacing w:after="30" w:line="252"/>
            </w:pPr>
            <w:r>
              <w:rPr>
                <w:b w:val="false"/>
                <w:bCs w:val="false"/>
                <w:sz w:val="17"/>
                <w:szCs w:val="17"/>
              </w:rPr>
              <w:t xml:space="preserve">Agent identity, scopes and approval gates in place</w:t>
            </w:r>
          </w:p>
          <w:p>
            <w:pPr>
              <w:pStyle w:val="ListParagraph"/>
              <w:numPr>
                <w:ilvl w:val="0"/>
                <w:numId w:val="4"/>
              </w:numPr>
              <w:spacing w:after="30" w:line="252"/>
            </w:pPr>
            <w:r>
              <w:rPr>
                <w:b w:val="false"/>
                <w:bCs w:val="false"/>
                <w:sz w:val="17"/>
                <w:szCs w:val="17"/>
              </w:rPr>
              <w:t xml:space="preserve">Third-party models, tools and MCP servers vetted</w:t>
            </w:r>
          </w:p>
        </w:tc>
        <w:tc>
          <w:tcPr>
            <w:tcW w:type="dxa" w:w="4819"/>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
            </w:r>
            <w:r>
              <w:rPr>
                <w:b/>
                <w:bCs/>
                <w:sz w:val="17"/>
                <w:szCs w:val="17"/>
              </w:rPr>
              <w:t xml:space="preserve">In production</w:t>
            </w:r>
            <w:r>
              <w:rPr>
                <w:b w:val="false"/>
                <w:bCs w:val="false"/>
                <w:sz w:val="17"/>
                <w:szCs w:val="17"/>
              </w:rPr>
              <w:t xml:space="preserve"/>
            </w:r>
          </w:p>
          <w:p>
            <w:pPr>
              <w:pStyle w:val="ListParagraph"/>
              <w:numPr>
                <w:ilvl w:val="0"/>
                <w:numId w:val="4"/>
              </w:numPr>
              <w:spacing w:after="30" w:line="252"/>
            </w:pPr>
            <w:r>
              <w:rPr>
                <w:b w:val="false"/>
                <w:bCs w:val="false"/>
                <w:sz w:val="17"/>
                <w:szCs w:val="17"/>
              </w:rPr>
              <w:t xml:space="preserve">Runtime inspection and logging of prompts, outputs and tool calls</w:t>
            </w:r>
          </w:p>
          <w:p>
            <w:pPr>
              <w:pStyle w:val="ListParagraph"/>
              <w:numPr>
                <w:ilvl w:val="0"/>
                <w:numId w:val="4"/>
              </w:numPr>
              <w:spacing w:after="30" w:line="252"/>
            </w:pPr>
            <w:r>
              <w:rPr>
                <w:b w:val="false"/>
                <w:bCs w:val="false"/>
                <w:sz w:val="17"/>
                <w:szCs w:val="17"/>
              </w:rPr>
              <w:t xml:space="preserve">Anomaly alerts fed to security operations</w:t>
            </w:r>
          </w:p>
          <w:p>
            <w:pPr>
              <w:pStyle w:val="ListParagraph"/>
              <w:numPr>
                <w:ilvl w:val="0"/>
                <w:numId w:val="4"/>
              </w:numPr>
              <w:spacing w:after="30" w:line="252"/>
            </w:pPr>
            <w:r>
              <w:rPr>
                <w:b w:val="false"/>
                <w:bCs w:val="false"/>
                <w:sz w:val="17"/>
                <w:szCs w:val="17"/>
              </w:rPr>
              <w:t xml:space="preserve">Rate limits, quotas and budget alerts</w:t>
            </w:r>
          </w:p>
          <w:p>
            <w:pPr>
              <w:pStyle w:val="ListParagraph"/>
              <w:numPr>
                <w:ilvl w:val="0"/>
                <w:numId w:val="4"/>
              </w:numPr>
              <w:spacing w:after="30" w:line="252"/>
            </w:pPr>
            <w:r>
              <w:rPr>
                <w:b w:val="false"/>
                <w:bCs w:val="false"/>
                <w:sz w:val="17"/>
                <w:szCs w:val="17"/>
              </w:rPr>
              <w:t xml:space="preserve">Periodic re-testing after model or prompt changes</w:t>
            </w:r>
          </w:p>
          <w:p>
            <w:pPr>
              <w:pStyle w:val="ListParagraph"/>
              <w:numPr>
                <w:ilvl w:val="0"/>
                <w:numId w:val="4"/>
              </w:numPr>
              <w:spacing w:after="30" w:line="252"/>
            </w:pPr>
            <w:r>
              <w:rPr>
                <w:b w:val="false"/>
                <w:bCs w:val="false"/>
                <w:sz w:val="17"/>
                <w:szCs w:val="17"/>
              </w:rPr>
              <w:t xml:space="preserve">AI-specific incident playbooks rehearsed</w:t>
            </w:r>
          </w:p>
        </w:tc>
      </w:tr>
    </w:tbl>
    <w:p>
      <w:pPr>
        <w:spacing w:after="120"/>
      </w:pPr>
    </w:p>
    <w:p>
      <w:pPr>
        <w:pStyle w:val="Heading2"/>
      </w:pPr>
      <w:r>
        <w:t xml:space="preserve">8.5 Shadow AI</w:t>
      </w:r>
    </w:p>
    <w:p>
      <w:r>
        <w:rPr>
          <w:b w:val="false"/>
          <w:bCs w:val="false"/>
        </w:rPr>
        <w:t xml:space="preserve">Unsanctioned use of public AI tools with company data is common in early maturity. Blocking alone rarely works. Combine discovery (network and SaaS monitoring), a clear acceptable-use policy, data-loss prevention, and, most importantly, a sanctioned alternative that is as easy to use as the tools people are already using.</w:t>
      </w:r>
    </w:p>
    <w:p>
      <w:pPr>
        <w:pStyle w:val="Heading1"/>
      </w:pPr>
      <w:r>
        <w:t xml:space="preserve">9. Operations perspective: observability, LLMOps and evaluation</w:t>
      </w:r>
    </w:p>
    <w:p>
      <w:r>
        <w:rPr>
          <w:b w:val="false"/>
          <w:bCs w:val="false"/>
        </w:rPr>
        <w:t xml:space="preserve">Generative and agentic AI systems are probabilistic and can change behaviour when a model, prompt, tool or data source changes. Operations must therefore measure quality continuously, not only availability. The Operations perspective covers evaluation, observability, release management, incident response and cost operations.</w:t>
      </w:r>
    </w:p>
    <w:p>
      <w:pPr>
        <w:pStyle w:val="Heading2"/>
      </w:pPr>
      <w:r>
        <w:t xml:space="preserve">9.1 What to observe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4500"/>
        <w:gridCol w:w="3138"/>
      </w:tblGrid>
      <w:tr>
        <w:trPr>
          <w:tblHeader/>
        </w:trPr>
        <w:tc>
          <w:tcPr>
            <w:tcW w:type="dxa" w:w="2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Dimension</w:t>
            </w:r>
          </w:p>
        </w:tc>
        <w:tc>
          <w:tcPr>
            <w:tcW w:type="dxa" w:w="45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Example metrics</w:t>
            </w:r>
          </w:p>
        </w:tc>
        <w:tc>
          <w:tcPr>
            <w:tcW w:type="dxa" w:w="31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Why it matters</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Quality</w:t>
            </w:r>
          </w:p>
        </w:tc>
        <w:tc>
          <w:tcPr>
            <w:tcW w:type="dxa" w:w="4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Task success rate; accuracy against reference answers; groundedness; citation accuracy; user ratings</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The main indicator of whether the system works</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Safety and compliance</w:t>
            </w:r>
          </w:p>
        </w:tc>
        <w:tc>
          <w:tcPr>
            <w:tcW w:type="dxa" w:w="4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Guardrail interventions; policy violations; PII detections; harmful content flags</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Evidence for risk owners and regulators</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Performance</w:t>
            </w:r>
          </w:p>
        </w:tc>
        <w:tc>
          <w:tcPr>
            <w:tcW w:type="dxa" w:w="4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Latency (including time to first token); throughput; error rates; availability</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User experience and service levels</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Cost</w:t>
            </w:r>
          </w:p>
        </w:tc>
        <w:tc>
          <w:tcPr>
            <w:tcW w:type="dxa" w:w="4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Tokens and calls per task; cost per task; spend against budget by use case</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Unit economics and AI FinOps</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Adoption</w:t>
            </w:r>
          </w:p>
        </w:tc>
        <w:tc>
          <w:tcPr>
            <w:tcW w:type="dxa" w:w="4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Active users; repeat use; abandonment; feedback themes</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Leading indicator of value</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Drift and change</w:t>
            </w:r>
          </w:p>
        </w:tc>
        <w:tc>
          <w:tcPr>
            <w:tcW w:type="dxa" w:w="45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Shifts in input topics; changes in output quality after model or data updates</w:t>
            </w:r>
          </w:p>
        </w:tc>
        <w:tc>
          <w:tcPr>
            <w:tcW w:type="dxa" w:w="31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Early warning of degradation</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Agent behaviour</w:t>
            </w:r>
          </w:p>
        </w:tc>
        <w:tc>
          <w:tcPr>
            <w:tcW w:type="dxa" w:w="45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Steps per task; tool-call errors; loops; escalations to humans; approval rejections</w:t>
            </w:r>
          </w:p>
        </w:tc>
        <w:tc>
          <w:tcPr>
            <w:tcW w:type="dxa" w:w="31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Reliability and control of autonomy</w:t>
            </w:r>
          </w:p>
        </w:tc>
      </w:tr>
    </w:tbl>
    <w:p>
      <w:pPr>
        <w:spacing w:after="120"/>
      </w:pPr>
    </w:p>
    <w:p>
      <w:pPr>
        <w:pStyle w:val="Heading2"/>
      </w:pPr>
      <w:r>
        <w:t xml:space="preserve">9.2 Evaluation strategy</w:t>
      </w:r>
    </w:p>
    <w:p>
      <w:r>
        <w:rPr>
          <w:b w:val="false"/>
          <w:bCs w:val="false"/>
        </w:rPr>
        <w:t xml:space="preserve">Evaluation is the most important engineering practice for generative AI. Treat it like testing in software: define what good looks like before building, and use evaluation results to decide every release.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4600"/>
        <w:gridCol w:w="2738"/>
      </w:tblGrid>
      <w:tr>
        <w:trPr>
          <w:tblHeader/>
        </w:trPr>
        <w:tc>
          <w:tcPr>
            <w:tcW w:type="dxa" w:w="23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Method</w:t>
            </w:r>
          </w:p>
        </w:tc>
        <w:tc>
          <w:tcPr>
            <w:tcW w:type="dxa" w:w="4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How it works</w:t>
            </w:r>
          </w:p>
        </w:tc>
        <w:tc>
          <w:tcPr>
            <w:tcW w:type="dxa" w:w="27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Best used for</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Golden datasets</w:t>
            </w:r>
          </w:p>
        </w:tc>
        <w:tc>
          <w:tcPr>
            <w:tcW w:type="dxa" w:w="4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Curated inputs with expected outputs or grading criteria, built with domain experts</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Regression testing; release gates</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Offline evaluation</w:t>
            </w:r>
          </w:p>
        </w:tc>
        <w:tc>
          <w:tcPr>
            <w:tcW w:type="dxa" w:w="4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Automated scoring of a new version against golden datasets before release</w:t>
            </w:r>
          </w:p>
        </w:tc>
        <w:tc>
          <w:tcPr>
            <w:tcW w:type="dxa" w:w="2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Comparing models, prompts and retrieval changes</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LLM-as-judge</w:t>
            </w:r>
          </w:p>
        </w:tc>
        <w:tc>
          <w:tcPr>
            <w:tcW w:type="dxa" w:w="4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 model grades outputs against a rubric; calibrated regularly against human ratings</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Scaling evaluation of open-ended outputs</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Human review</w:t>
            </w:r>
          </w:p>
        </w:tc>
        <w:tc>
          <w:tcPr>
            <w:tcW w:type="dxa" w:w="4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Experts score samples of real interactions</w:t>
            </w:r>
          </w:p>
        </w:tc>
        <w:tc>
          <w:tcPr>
            <w:tcW w:type="dxa" w:w="2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Ground truth; high-risk use cases; calibration</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Online evaluation</w:t>
            </w:r>
          </w:p>
        </w:tc>
        <w:tc>
          <w:tcPr>
            <w:tcW w:type="dxa" w:w="4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A/B tests, shadow deployments and canary releases with real traffic</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Measuring real-world impact safely</w:t>
            </w:r>
          </w:p>
        </w:tc>
      </w:tr>
      <w:tr>
        <w:tc>
          <w:tcPr>
            <w:tcW w:type="dxa" w:w="23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Red teaming</w:t>
            </w:r>
          </w:p>
        </w:tc>
        <w:tc>
          <w:tcPr>
            <w:tcW w:type="dxa" w:w="4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Adversarial testing for safety, security and misuse</w:t>
            </w:r>
          </w:p>
        </w:tc>
        <w:tc>
          <w:tcPr>
            <w:tcW w:type="dxa" w:w="2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Before launch and after significant change</w:t>
            </w:r>
          </w:p>
        </w:tc>
      </w:tr>
      <w:tr>
        <w:tc>
          <w:tcPr>
            <w:tcW w:type="dxa" w:w="23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Agent evaluation</w:t>
            </w:r>
          </w:p>
        </w:tc>
        <w:tc>
          <w:tcPr>
            <w:tcW w:type="dxa" w:w="4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Scoring whole trajectories: task completion, correct tool use, efficiency and policy compliance</w:t>
            </w:r>
          </w:p>
        </w:tc>
        <w:tc>
          <w:tcPr>
            <w:tcW w:type="dxa" w:w="2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Agents and multi-step workflows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0F8B7D" w:sz="24"/>
              <w:bottom w:val="none" w:color="FFFFFF" w:sz="0"/>
              <w:right w:val="none" w:color="FFFFFF" w:sz="0"/>
            </w:tcBorders>
            <w:shd w:fill="E6F4F2" w:color="auto" w:val="clear"/>
            <w:tcMar>
              <w:top w:type="dxa" w:w="120"/>
              <w:left w:type="dxa" w:w="200"/>
              <w:bottom w:type="dxa" w:w="120"/>
              <w:right w:type="dxa" w:w="200"/>
            </w:tcMar>
          </w:tcPr>
          <w:p>
            <w:pPr>
              <w:spacing w:after="60"/>
            </w:pPr>
            <w:r>
              <w:rPr>
                <w:b/>
                <w:bCs/>
                <w:color w:val="0F8B7D"/>
                <w:sz w:val="20"/>
                <w:szCs w:val="20"/>
              </w:rPr>
              <w:t xml:space="preserve">Evaluation-driven development</w:t>
            </w:r>
          </w:p>
          <w:p>
            <w:pPr>
              <w:spacing w:after="40" w:line="252"/>
            </w:pPr>
            <w:r>
              <w:rPr>
                <w:b w:val="false"/>
                <w:bCs w:val="false"/>
                <w:sz w:val="19"/>
                <w:szCs w:val="19"/>
              </w:rPr>
              <w:t xml:space="preserve">No golden dataset, no launch. Every use case should have an evaluation set and pass thresholds agreed with the business owner before build starts. Every change to a model, prompt, tool or index runs against that set automatically.</w:t>
            </w:r>
          </w:p>
        </w:tc>
      </w:tr>
    </w:tbl>
    <w:p>
      <w:pPr>
        <w:spacing w:after="120"/>
      </w:pPr>
    </w:p>
    <w:p>
      <w:pPr>
        <w:pStyle w:val="Heading2"/>
      </w:pPr>
      <w:r>
        <w:t xml:space="preserve">9.3 Tracing and observability for agents</w:t>
      </w:r>
    </w:p>
    <w:p>
      <w:r>
        <w:rPr>
          <w:b w:val="false"/>
          <w:bCs w:val="false"/>
        </w:rPr>
        <w:t xml:space="preserve">For agents, logs are not enough. Teams need end-to-end traces that show the goal, each reasoning step, every retrieval and tool call with inputs and outputs, approvals, cost and latency. Traces make failures diagnosable and actions auditable. Use open standards such as the OpenTelemetry semantic conventions for generative AI to avoid lock-in, and apply the same data protection rules to traces as to the underlying data, because traces often contain sensitive content.</w:t>
      </w:r>
    </w:p>
    <w:p>
      <w:pPr>
        <w:pStyle w:val="Heading2"/>
      </w:pPr>
      <w:r>
        <w:t xml:space="preserve">9.4 LLMOps and release management</w:t>
      </w:r>
    </w:p>
    <w:p>
      <w:pPr>
        <w:pStyle w:val="ListParagraph"/>
        <w:numPr>
          <w:ilvl w:val="0"/>
          <w:numId w:val="3"/>
        </w:numPr>
        <w:spacing w:after="60"/>
      </w:pPr>
      <w:r>
        <w:rPr>
          <w:b w:val="false"/>
          <w:bCs w:val="false"/>
        </w:rPr>
        <w:t xml:space="preserve"/>
      </w:r>
      <w:r>
        <w:rPr>
          <w:b/>
          <w:bCs/>
        </w:rPr>
        <w:t xml:space="preserve">Version everything:</w:t>
      </w:r>
      <w:r>
        <w:rPr>
          <w:b w:val="false"/>
          <w:bCs w:val="false"/>
        </w:rPr>
        <w:t xml:space="preserve"> models, prompts, retrieval configuration, tools, guardrail policies and agent definitions.</w:t>
      </w:r>
    </w:p>
    <w:p>
      <w:pPr>
        <w:pStyle w:val="ListParagraph"/>
        <w:numPr>
          <w:ilvl w:val="0"/>
          <w:numId w:val="3"/>
        </w:numPr>
        <w:spacing w:after="60"/>
      </w:pPr>
      <w:r>
        <w:rPr>
          <w:b w:val="false"/>
          <w:bCs w:val="false"/>
        </w:rPr>
        <w:t xml:space="preserve"/>
      </w:r>
      <w:r>
        <w:rPr>
          <w:b/>
          <w:bCs/>
        </w:rPr>
        <w:t xml:space="preserve">Automate the pipeline:</w:t>
      </w:r>
      <w:r>
        <w:rPr>
          <w:b w:val="false"/>
          <w:bCs w:val="false"/>
        </w:rPr>
        <w:t xml:space="preserve"> continuous integration runs evaluations and security tests; releases are blocked if thresholds are not met.</w:t>
      </w:r>
    </w:p>
    <w:p>
      <w:pPr>
        <w:pStyle w:val="ListParagraph"/>
        <w:numPr>
          <w:ilvl w:val="0"/>
          <w:numId w:val="3"/>
        </w:numPr>
        <w:spacing w:after="60"/>
      </w:pPr>
      <w:r>
        <w:rPr>
          <w:b w:val="false"/>
          <w:bCs w:val="false"/>
        </w:rPr>
        <w:t xml:space="preserve"/>
      </w:r>
      <w:r>
        <w:rPr>
          <w:b/>
          <w:bCs/>
        </w:rPr>
        <w:t xml:space="preserve">Release progressively:</w:t>
      </w:r>
      <w:r>
        <w:rPr>
          <w:b w:val="false"/>
          <w:bCs w:val="false"/>
        </w:rPr>
        <w:t xml:space="preserve"> canary or phased rollout with automatic rollback on quality, safety or cost regression.</w:t>
      </w:r>
    </w:p>
    <w:p>
      <w:pPr>
        <w:pStyle w:val="ListParagraph"/>
        <w:numPr>
          <w:ilvl w:val="0"/>
          <w:numId w:val="3"/>
        </w:numPr>
        <w:spacing w:after="60"/>
      </w:pPr>
      <w:r>
        <w:rPr>
          <w:b w:val="false"/>
          <w:bCs w:val="false"/>
        </w:rPr>
        <w:t xml:space="preserve"/>
      </w:r>
      <w:r>
        <w:rPr>
          <w:b/>
          <w:bCs/>
        </w:rPr>
        <w:t xml:space="preserve">Plan for model change:</w:t>
      </w:r>
      <w:r>
        <w:rPr>
          <w:b w:val="false"/>
          <w:bCs w:val="false"/>
        </w:rPr>
        <w:t xml:space="preserve"> providers update and retire models; re-run evaluations before switching, and keep a fallback model.</w:t>
      </w:r>
    </w:p>
    <w:p>
      <w:pPr>
        <w:pStyle w:val="ListParagraph"/>
        <w:numPr>
          <w:ilvl w:val="0"/>
          <w:numId w:val="3"/>
        </w:numPr>
        <w:spacing w:after="60"/>
      </w:pPr>
      <w:r>
        <w:rPr>
          <w:b w:val="false"/>
          <w:bCs w:val="false"/>
        </w:rPr>
        <w:t xml:space="preserve"/>
      </w:r>
      <w:r>
        <w:rPr>
          <w:b/>
          <w:bCs/>
        </w:rPr>
        <w:t xml:space="preserve">Close the loop:</w:t>
      </w:r>
      <w:r>
        <w:rPr>
          <w:b w:val="false"/>
          <w:bCs w:val="false"/>
        </w:rPr>
        <w:t xml:space="preserve"> feed user feedback, human review and incident findings back into evaluation sets and improvements.</w:t>
      </w:r>
    </w:p>
    <w:p>
      <w:pPr>
        <w:pStyle w:val="Heading2"/>
      </w:pPr>
      <w:r>
        <w:t xml:space="preserve">9.5 AI incident management</w:t>
      </w:r>
    </w:p>
    <w:p>
      <w:r>
        <w:rPr>
          <w:b w:val="false"/>
          <w:bCs w:val="false"/>
        </w:rPr>
        <w:t xml:space="preserve">Define what counts as an AI incident (for example, harmful or false output that reached users, data leakage, an agent taking an unintended action, a cost spike or a bias finding) and integrate AI incidents into existing incident processes.</w:t>
      </w:r>
    </w:p>
    <w:p>
      <w:pPr>
        <w:pStyle w:val="ListParagraph"/>
        <w:numPr>
          <w:ilvl w:val="0"/>
          <w:numId w:val="8"/>
        </w:numPr>
        <w:spacing w:after="60"/>
      </w:pPr>
      <w:r>
        <w:rPr>
          <w:b w:val="false"/>
          <w:bCs w:val="false"/>
        </w:rPr>
        <w:t xml:space="preserve"/>
      </w:r>
      <w:r>
        <w:rPr>
          <w:b/>
          <w:bCs/>
        </w:rPr>
        <w:t xml:space="preserve">Detect:</w:t>
      </w:r>
      <w:r>
        <w:rPr>
          <w:b w:val="false"/>
          <w:bCs w:val="false"/>
        </w:rPr>
        <w:t xml:space="preserve"> monitoring alerts, user reports and red-team findings.</w:t>
      </w:r>
    </w:p>
    <w:p>
      <w:pPr>
        <w:pStyle w:val="ListParagraph"/>
        <w:numPr>
          <w:ilvl w:val="0"/>
          <w:numId w:val="8"/>
        </w:numPr>
        <w:spacing w:after="60"/>
      </w:pPr>
      <w:r>
        <w:rPr>
          <w:b w:val="false"/>
          <w:bCs w:val="false"/>
        </w:rPr>
        <w:t xml:space="preserve"/>
      </w:r>
      <w:r>
        <w:rPr>
          <w:b/>
          <w:bCs/>
        </w:rPr>
        <w:t xml:space="preserve">Contain:</w:t>
      </w:r>
      <w:r>
        <w:rPr>
          <w:b w:val="false"/>
          <w:bCs w:val="false"/>
        </w:rPr>
        <w:t xml:space="preserve"> pause the agent or feature, roll back the version, or tighten guardrails.</w:t>
      </w:r>
    </w:p>
    <w:p>
      <w:pPr>
        <w:pStyle w:val="ListParagraph"/>
        <w:numPr>
          <w:ilvl w:val="0"/>
          <w:numId w:val="8"/>
        </w:numPr>
        <w:spacing w:after="60"/>
      </w:pPr>
      <w:r>
        <w:rPr>
          <w:b w:val="false"/>
          <w:bCs w:val="false"/>
        </w:rPr>
        <w:t xml:space="preserve"/>
      </w:r>
      <w:r>
        <w:rPr>
          <w:b/>
          <w:bCs/>
        </w:rPr>
        <w:t xml:space="preserve">Assess:</w:t>
      </w:r>
      <w:r>
        <w:rPr>
          <w:b w:val="false"/>
          <w:bCs w:val="false"/>
        </w:rPr>
        <w:t xml:space="preserve"> determine severity, affected users and any regulatory reporting obligations (high-risk systems under the EU AI Act have serious-incident reporting duties).</w:t>
      </w:r>
    </w:p>
    <w:p>
      <w:pPr>
        <w:pStyle w:val="ListParagraph"/>
        <w:numPr>
          <w:ilvl w:val="0"/>
          <w:numId w:val="8"/>
        </w:numPr>
        <w:spacing w:after="60"/>
      </w:pPr>
      <w:r>
        <w:rPr>
          <w:b w:val="false"/>
          <w:bCs w:val="false"/>
        </w:rPr>
        <w:t xml:space="preserve"/>
      </w:r>
      <w:r>
        <w:rPr>
          <w:b/>
          <w:bCs/>
        </w:rPr>
        <w:t xml:space="preserve">Resolve and learn:</w:t>
      </w:r>
      <w:r>
        <w:rPr>
          <w:b w:val="false"/>
          <w:bCs w:val="false"/>
        </w:rPr>
        <w:t xml:space="preserve"> fix the root cause, add the case to evaluation sets, update the risk register and share lessons.</w:t>
      </w:r>
    </w:p>
    <w:p>
      <w:r>
        <w:rPr>
          <w:b w:val="false"/>
          <w:bCs w:val="false"/>
        </w:rPr>
        <w:t xml:space="preserve">This maps directly to the NIST AI RMF Manage function and to ISO/IEC 42001 Clause 10 (improvement).</w:t>
      </w:r>
    </w:p>
    <w:p>
      <w:pPr>
        <w:pStyle w:val="Heading1"/>
      </w:pPr>
      <w:r>
        <w:t xml:space="preserve">10. The adoption roadmap</w:t>
      </w:r>
    </w:p>
    <w:p>
      <w:r>
        <w:rPr>
          <w:b w:val="false"/>
          <w:bCs w:val="false"/>
        </w:rPr>
        <w:t xml:space="preserve">The roadmap brings the frameworks together over time. It assumes a starting maturity of Level 1 to 2 and a 12-month horizon to reach Level 3 in most dimensions, with selected use cases at Level 4. Adjust the pace to the starting point (Section 10.2).</w:t>
      </w:r>
    </w:p>
    <w:p>
      <w:pPr>
        <w:pStyle w:val="Heading2"/>
      </w:pPr>
      <w:r>
        <w:t xml:space="preserve">10.1 A 12-month phased 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646"/>
        <w:gridCol w:w="2646"/>
        <w:gridCol w:w="2646"/>
      </w:tblGrid>
      <w:tr>
        <w:trPr>
          <w:tblHeader/>
        </w:trPr>
        <w:tc>
          <w:tcPr>
            <w:tcW w:type="dxa" w:w="17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Workstream</w:t>
            </w:r>
          </w:p>
        </w:tc>
        <w:tc>
          <w:tcPr>
            <w:tcW w:type="dxa" w:w="2646"/>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Days 0 to 90: Envision and Align</w:t>
            </w:r>
          </w:p>
        </w:tc>
        <w:tc>
          <w:tcPr>
            <w:tcW w:type="dxa" w:w="2646"/>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Days 90 to 180: Launch</w:t>
            </w:r>
          </w:p>
        </w:tc>
        <w:tc>
          <w:tcPr>
            <w:tcW w:type="dxa" w:w="2646"/>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Days 180 to 365: Scale</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Business and value</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Agree 3 to 5 objectives</w:t>
            </w:r>
          </w:p>
          <w:p>
            <w:pPr>
              <w:pStyle w:val="ListParagraph"/>
              <w:numPr>
                <w:ilvl w:val="0"/>
                <w:numId w:val="4"/>
              </w:numPr>
              <w:spacing w:after="30" w:line="252"/>
            </w:pPr>
            <w:r>
              <w:rPr>
                <w:b w:val="false"/>
                <w:bCs w:val="false"/>
                <w:sz w:val="16"/>
                <w:szCs w:val="16"/>
              </w:rPr>
              <w:t xml:space="preserve">Score and select 3 to 5 lead use cases</w:t>
            </w:r>
          </w:p>
          <w:p>
            <w:pPr>
              <w:pStyle w:val="ListParagraph"/>
              <w:numPr>
                <w:ilvl w:val="0"/>
                <w:numId w:val="4"/>
              </w:numPr>
              <w:spacing w:after="30" w:line="252"/>
            </w:pPr>
            <w:r>
              <w:rPr>
                <w:b w:val="false"/>
                <w:bCs w:val="false"/>
                <w:sz w:val="16"/>
                <w:szCs w:val="16"/>
              </w:rPr>
              <w:t xml:space="preserve">Baselines and value hypotheses</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Lead use cases live with real users</w:t>
            </w:r>
          </w:p>
          <w:p>
            <w:pPr>
              <w:pStyle w:val="ListParagraph"/>
              <w:numPr>
                <w:ilvl w:val="0"/>
                <w:numId w:val="4"/>
              </w:numPr>
              <w:spacing w:after="30" w:line="252"/>
            </w:pPr>
            <w:r>
              <w:rPr>
                <w:b w:val="false"/>
                <w:bCs w:val="false"/>
                <w:sz w:val="16"/>
                <w:szCs w:val="16"/>
              </w:rPr>
              <w:t xml:space="preserve">Monthly value tracking</w:t>
            </w:r>
          </w:p>
          <w:p>
            <w:pPr>
              <w:pStyle w:val="ListParagraph"/>
              <w:numPr>
                <w:ilvl w:val="0"/>
                <w:numId w:val="4"/>
              </w:numPr>
              <w:spacing w:after="30" w:line="252"/>
            </w:pPr>
            <w:r>
              <w:rPr>
                <w:b w:val="false"/>
                <w:bCs w:val="false"/>
                <w:sz w:val="16"/>
                <w:szCs w:val="16"/>
              </w:rPr>
              <w:t xml:space="preserve">Stage-gate funding decisions</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Portfolio of 10+ use cases</w:t>
            </w:r>
          </w:p>
          <w:p>
            <w:pPr>
              <w:pStyle w:val="ListParagraph"/>
              <w:numPr>
                <w:ilvl w:val="0"/>
                <w:numId w:val="4"/>
              </w:numPr>
              <w:spacing w:after="30" w:line="252"/>
            </w:pPr>
            <w:r>
              <w:rPr>
                <w:b w:val="false"/>
                <w:bCs w:val="false"/>
                <w:sz w:val="16"/>
                <w:szCs w:val="16"/>
              </w:rPr>
              <w:t xml:space="preserve">Quarterly value reporting</w:t>
            </w:r>
          </w:p>
          <w:p>
            <w:pPr>
              <w:pStyle w:val="ListParagraph"/>
              <w:numPr>
                <w:ilvl w:val="0"/>
                <w:numId w:val="4"/>
              </w:numPr>
              <w:spacing w:after="30" w:line="252"/>
            </w:pPr>
            <w:r>
              <w:rPr>
                <w:b w:val="false"/>
                <w:bCs w:val="false"/>
                <w:sz w:val="16"/>
                <w:szCs w:val="16"/>
              </w:rPr>
              <w:t xml:space="preserve">Unit economics managed</w:t>
            </w:r>
          </w:p>
        </w:tc>
      </w:tr>
      <w:tr>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People (ADKAR)</w:t>
            </w:r>
          </w:p>
        </w:tc>
        <w:tc>
          <w:tcPr>
            <w:tcW w:type="dxa" w:w="2646"/>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Sponsor and steering group</w:t>
            </w:r>
          </w:p>
          <w:p>
            <w:pPr>
              <w:pStyle w:val="ListParagraph"/>
              <w:numPr>
                <w:ilvl w:val="0"/>
                <w:numId w:val="4"/>
              </w:numPr>
              <w:spacing w:after="30" w:line="252"/>
            </w:pPr>
            <w:r>
              <w:rPr>
                <w:b w:val="false"/>
                <w:bCs w:val="false"/>
                <w:sz w:val="16"/>
                <w:szCs w:val="16"/>
              </w:rPr>
              <w:t xml:space="preserve">Narrative and workforce intent (Awareness)</w:t>
            </w:r>
          </w:p>
          <w:p>
            <w:pPr>
              <w:pStyle w:val="ListParagraph"/>
              <w:numPr>
                <w:ilvl w:val="0"/>
                <w:numId w:val="4"/>
              </w:numPr>
              <w:spacing w:after="30" w:line="252"/>
            </w:pPr>
            <w:r>
              <w:rPr>
                <w:b w:val="false"/>
                <w:bCs w:val="false"/>
                <w:sz w:val="16"/>
                <w:szCs w:val="16"/>
              </w:rPr>
              <w:t xml:space="preserve">Champions recruited (Desire)</w:t>
            </w:r>
          </w:p>
        </w:tc>
        <w:tc>
          <w:tcPr>
            <w:tcW w:type="dxa" w:w="2646"/>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Role-based training (Knowledge)</w:t>
            </w:r>
          </w:p>
          <w:p>
            <w:pPr>
              <w:pStyle w:val="ListParagraph"/>
              <w:numPr>
                <w:ilvl w:val="0"/>
                <w:numId w:val="4"/>
              </w:numPr>
              <w:spacing w:after="30" w:line="252"/>
            </w:pPr>
            <w:r>
              <w:rPr>
                <w:b w:val="false"/>
                <w:bCs w:val="false"/>
                <w:sz w:val="16"/>
                <w:szCs w:val="16"/>
              </w:rPr>
              <w:t xml:space="preserve">Coaching in the workflow (Ability)</w:t>
            </w:r>
          </w:p>
          <w:p>
            <w:pPr>
              <w:pStyle w:val="ListParagraph"/>
              <w:numPr>
                <w:ilvl w:val="0"/>
                <w:numId w:val="4"/>
              </w:numPr>
              <w:spacing w:after="30" w:line="252"/>
            </w:pPr>
            <w:r>
              <w:rPr>
                <w:b w:val="false"/>
                <w:bCs w:val="false"/>
                <w:sz w:val="16"/>
                <w:szCs w:val="16"/>
              </w:rPr>
              <w:t xml:space="preserve">Adoption metrics</w:t>
            </w:r>
          </w:p>
        </w:tc>
        <w:tc>
          <w:tcPr>
            <w:tcW w:type="dxa" w:w="2646"/>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Hub-and-spoke model</w:t>
            </w:r>
          </w:p>
          <w:p>
            <w:pPr>
              <w:pStyle w:val="ListParagraph"/>
              <w:numPr>
                <w:ilvl w:val="0"/>
                <w:numId w:val="4"/>
              </w:numPr>
              <w:spacing w:after="30" w:line="252"/>
            </w:pPr>
            <w:r>
              <w:rPr>
                <w:b w:val="false"/>
                <w:bCs w:val="false"/>
                <w:sz w:val="16"/>
                <w:szCs w:val="16"/>
              </w:rPr>
              <w:t xml:space="preserve">Incentives and KPIs updated (Reinforcement)</w:t>
            </w:r>
          </w:p>
          <w:p>
            <w:pPr>
              <w:pStyle w:val="ListParagraph"/>
              <w:numPr>
                <w:ilvl w:val="0"/>
                <w:numId w:val="4"/>
              </w:numPr>
              <w:spacing w:after="30" w:line="252"/>
            </w:pPr>
            <w:r>
              <w:rPr>
                <w:b w:val="false"/>
                <w:bCs w:val="false"/>
                <w:sz w:val="16"/>
                <w:szCs w:val="16"/>
              </w:rPr>
              <w:t xml:space="preserve">AI literacy for all staff</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Governance (NIST / ISO)</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AI policy and acceptable use</w:t>
            </w:r>
          </w:p>
          <w:p>
            <w:pPr>
              <w:pStyle w:val="ListParagraph"/>
              <w:numPr>
                <w:ilvl w:val="0"/>
                <w:numId w:val="4"/>
              </w:numPr>
              <w:spacing w:after="30" w:line="252"/>
            </w:pPr>
            <w:r>
              <w:rPr>
                <w:b w:val="false"/>
                <w:bCs w:val="false"/>
                <w:sz w:val="16"/>
                <w:szCs w:val="16"/>
              </w:rPr>
              <w:t xml:space="preserve">Risk tiers and fast lane</w:t>
            </w:r>
          </w:p>
          <w:p>
            <w:pPr>
              <w:pStyle w:val="ListParagraph"/>
              <w:numPr>
                <w:ilvl w:val="0"/>
                <w:numId w:val="4"/>
              </w:numPr>
              <w:spacing w:after="30" w:line="252"/>
            </w:pPr>
            <w:r>
              <w:rPr>
                <w:b w:val="false"/>
                <w:bCs w:val="false"/>
                <w:sz w:val="16"/>
                <w:szCs w:val="16"/>
              </w:rPr>
              <w:t xml:space="preserve">AI inventory started</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Impact assessments for Tier 3</w:t>
            </w:r>
          </w:p>
          <w:p>
            <w:pPr>
              <w:pStyle w:val="ListParagraph"/>
              <w:numPr>
                <w:ilvl w:val="0"/>
                <w:numId w:val="4"/>
              </w:numPr>
              <w:spacing w:after="30" w:line="252"/>
            </w:pPr>
            <w:r>
              <w:rPr>
                <w:b w:val="false"/>
                <w:bCs w:val="false"/>
                <w:sz w:val="16"/>
                <w:szCs w:val="16"/>
              </w:rPr>
              <w:t xml:space="preserve">Governance gates in delivery</w:t>
            </w:r>
          </w:p>
          <w:p>
            <w:pPr>
              <w:pStyle w:val="ListParagraph"/>
              <w:numPr>
                <w:ilvl w:val="0"/>
                <w:numId w:val="4"/>
              </w:numPr>
              <w:spacing w:after="30" w:line="252"/>
            </w:pPr>
            <w:r>
              <w:rPr>
                <w:b w:val="false"/>
                <w:bCs w:val="false"/>
                <w:sz w:val="16"/>
                <w:szCs w:val="16"/>
              </w:rPr>
              <w:t xml:space="preserve">Regulatory mapping</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Management system aligned to ISO/IEC 42001</w:t>
            </w:r>
          </w:p>
          <w:p>
            <w:pPr>
              <w:pStyle w:val="ListParagraph"/>
              <w:numPr>
                <w:ilvl w:val="0"/>
                <w:numId w:val="4"/>
              </w:numPr>
              <w:spacing w:after="30" w:line="252"/>
            </w:pPr>
            <w:r>
              <w:rPr>
                <w:b w:val="false"/>
                <w:bCs w:val="false"/>
                <w:sz w:val="16"/>
                <w:szCs w:val="16"/>
              </w:rPr>
              <w:t xml:space="preserve">Internal audit</w:t>
            </w:r>
          </w:p>
          <w:p>
            <w:pPr>
              <w:pStyle w:val="ListParagraph"/>
              <w:numPr>
                <w:ilvl w:val="0"/>
                <w:numId w:val="4"/>
              </w:numPr>
              <w:spacing w:after="30" w:line="252"/>
            </w:pPr>
            <w:r>
              <w:rPr>
                <w:b w:val="false"/>
                <w:bCs w:val="false"/>
                <w:sz w:val="16"/>
                <w:szCs w:val="16"/>
              </w:rPr>
              <w:t xml:space="preserve">Certification decision</w:t>
            </w:r>
          </w:p>
        </w:tc>
      </w:tr>
      <w:tr>
        <w:tc>
          <w:tcPr>
            <w:tcW w:type="dxa" w:w="17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Data and platform</w:t>
            </w:r>
          </w:p>
        </w:tc>
        <w:tc>
          <w:tcPr>
            <w:tcW w:type="dxa" w:w="2646"/>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Data readiness for lead use cases</w:t>
            </w:r>
          </w:p>
          <w:p>
            <w:pPr>
              <w:pStyle w:val="ListParagraph"/>
              <w:numPr>
                <w:ilvl w:val="0"/>
                <w:numId w:val="4"/>
              </w:numPr>
              <w:spacing w:after="30" w:line="252"/>
            </w:pPr>
            <w:r>
              <w:rPr>
                <w:b w:val="false"/>
                <w:bCs w:val="false"/>
                <w:sz w:val="16"/>
                <w:szCs w:val="16"/>
              </w:rPr>
              <w:t xml:space="preserve">Platform baseline: gateway, guardrails, retrieval</w:t>
            </w:r>
          </w:p>
        </w:tc>
        <w:tc>
          <w:tcPr>
            <w:tcW w:type="dxa" w:w="2646"/>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Permission-aware retrieval in production</w:t>
            </w:r>
          </w:p>
          <w:p>
            <w:pPr>
              <w:pStyle w:val="ListParagraph"/>
              <w:numPr>
                <w:ilvl w:val="0"/>
                <w:numId w:val="4"/>
              </w:numPr>
              <w:spacing w:after="30" w:line="252"/>
            </w:pPr>
            <w:r>
              <w:rPr>
                <w:b w:val="false"/>
                <w:bCs w:val="false"/>
                <w:sz w:val="16"/>
                <w:szCs w:val="16"/>
              </w:rPr>
              <w:t xml:space="preserve">Evaluation harness and tracing</w:t>
            </w:r>
          </w:p>
        </w:tc>
        <w:tc>
          <w:tcPr>
            <w:tcW w:type="dxa" w:w="2646"/>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Reusable data products and semantic layer</w:t>
            </w:r>
          </w:p>
          <w:p>
            <w:pPr>
              <w:pStyle w:val="ListParagraph"/>
              <w:numPr>
                <w:ilvl w:val="0"/>
                <w:numId w:val="4"/>
              </w:numPr>
              <w:spacing w:after="30" w:line="252"/>
            </w:pPr>
            <w:r>
              <w:rPr>
                <w:b w:val="false"/>
                <w:bCs w:val="false"/>
                <w:sz w:val="16"/>
                <w:szCs w:val="16"/>
              </w:rPr>
              <w:t xml:space="preserve">Agent and tool registries; supervised agents</w:t>
            </w:r>
          </w:p>
        </w:tc>
      </w:tr>
      <w:tr>
        <w:tc>
          <w:tcPr>
            <w:tcW w:type="dxa" w:w="17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Security and operations</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AI threat model</w:t>
            </w:r>
          </w:p>
          <w:p>
            <w:pPr>
              <w:pStyle w:val="ListParagraph"/>
              <w:numPr>
                <w:ilvl w:val="0"/>
                <w:numId w:val="4"/>
              </w:numPr>
              <w:spacing w:after="30" w:line="252"/>
            </w:pPr>
            <w:r>
              <w:rPr>
                <w:b w:val="false"/>
                <w:bCs w:val="false"/>
                <w:sz w:val="16"/>
                <w:szCs w:val="16"/>
              </w:rPr>
              <w:t xml:space="preserve">Shadow AI discovery and sanctioned tools</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Red teaming before launch</w:t>
            </w:r>
          </w:p>
          <w:p>
            <w:pPr>
              <w:pStyle w:val="ListParagraph"/>
              <w:numPr>
                <w:ilvl w:val="0"/>
                <w:numId w:val="4"/>
              </w:numPr>
              <w:spacing w:after="30" w:line="252"/>
            </w:pPr>
            <w:r>
              <w:rPr>
                <w:b w:val="false"/>
                <w:bCs w:val="false"/>
                <w:sz w:val="16"/>
                <w:szCs w:val="16"/>
              </w:rPr>
              <w:t xml:space="preserve">Monitoring dashboards; incident playbook</w:t>
            </w:r>
          </w:p>
        </w:tc>
        <w:tc>
          <w:tcPr>
            <w:tcW w:type="dxa" w:w="2646"/>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6"/>
                <w:szCs w:val="16"/>
              </w:rPr>
              <w:t xml:space="preserve">Agent control plane</w:t>
            </w:r>
          </w:p>
          <w:p>
            <w:pPr>
              <w:pStyle w:val="ListParagraph"/>
              <w:numPr>
                <w:ilvl w:val="0"/>
                <w:numId w:val="4"/>
              </w:numPr>
              <w:spacing w:after="30" w:line="252"/>
            </w:pPr>
            <w:r>
              <w:rPr>
                <w:b w:val="false"/>
                <w:bCs w:val="false"/>
                <w:sz w:val="16"/>
                <w:szCs w:val="16"/>
              </w:rPr>
              <w:t xml:space="preserve">Evaluation gates in CI/CD; AI FinOps</w:t>
            </w:r>
          </w:p>
        </w:tc>
      </w:tr>
    </w:tbl>
    <w:p>
      <w:pPr>
        <w:spacing w:after="120"/>
      </w:pPr>
    </w:p>
    <w:p>
      <w:pPr>
        <w:pStyle w:val="Heading3"/>
      </w:pPr>
      <w:r>
        <w:t xml:space="preserve">Phase exit criteria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7638"/>
      </w:tblGrid>
      <w:tr>
        <w:trPr>
          <w:tblHeader/>
        </w:trPr>
        <w:tc>
          <w:tcPr>
            <w:tcW w:type="dxa" w:w="2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Gate</w:t>
            </w:r>
          </w:p>
        </w:tc>
        <w:tc>
          <w:tcPr>
            <w:tcW w:type="dxa" w:w="76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Exit criteria</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End of day 90</w:t>
            </w:r>
          </w:p>
        </w:tc>
        <w:tc>
          <w:tcPr>
            <w:tcW w:type="dxa" w:w="7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Sponsor and steering group active; lead use cases approved with baselines and risk tiers; AI policy published; platform baseline available; maturity baseline recorded</w:t>
            </w:r>
          </w:p>
        </w:tc>
      </w:tr>
      <w:tr>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End of day 180</w:t>
            </w:r>
          </w:p>
        </w:tc>
        <w:tc>
          <w:tcPr>
            <w:tcW w:type="dxa" w:w="7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At least two use cases in production with measured leading indicators; evaluation sets and monitoring live; training delivered to target users; no unmanaged Tier 3 risks</w:t>
            </w:r>
          </w:p>
        </w:tc>
      </w:tr>
      <w:tr>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End of day 365</w:t>
            </w:r>
          </w:p>
        </w:tc>
        <w:tc>
          <w:tcPr>
            <w:tcW w:type="dxa" w:w="7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Value verified against baseline for lead use cases; portfolio funding based on evidence; maturity reassessed with at least one level of improvement in most dimensions; agents in production only with control-plane safeguards</w:t>
            </w:r>
          </w:p>
        </w:tc>
      </w:tr>
    </w:tbl>
    <w:p>
      <w:pPr>
        <w:spacing w:after="120"/>
      </w:pPr>
    </w:p>
    <w:p>
      <w:pPr>
        <w:pStyle w:val="Heading2"/>
      </w:pPr>
      <w:r>
        <w:t xml:space="preserve">10.2 Starting points by maturity level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00"/>
        <w:gridCol w:w="7738"/>
      </w:tblGrid>
      <w:tr>
        <w:trPr>
          <w:tblHeader/>
        </w:trPr>
        <w:tc>
          <w:tcPr>
            <w:tcW w:type="dxa" w:w="19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If you are at</w:t>
            </w:r>
          </w:p>
        </w:tc>
        <w:tc>
          <w:tcPr>
            <w:tcW w:type="dxa" w:w="77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Focus on</w:t>
            </w:r>
          </w:p>
        </w:tc>
      </w:tr>
      <w:tr>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Level 1 Exploring</w:t>
            </w:r>
          </w:p>
        </w:tc>
        <w:tc>
          <w:tcPr>
            <w:tcW w:type="dxa" w:w="7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Executive sponsorship, acceptable-use policy, a sanctioned tool to replace shadow AI, AI literacy for all staff, and selection of a few lead use cases</w:t>
            </w:r>
          </w:p>
        </w:tc>
      </w:tr>
      <w:tr>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Level 2 Experimenting</w:t>
            </w:r>
          </w:p>
        </w:tc>
        <w:tc>
          <w:tcPr>
            <w:tcW w:type="dxa" w:w="7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Stop pilot sprawl; choose 3 to 5 use cases with value and data readiness; build one production path with risk tiers, evaluation and monitoring</w:t>
            </w:r>
          </w:p>
        </w:tc>
      </w:tr>
      <w:tr>
        <w:tc>
          <w:tcPr>
            <w:tcW w:type="dxa" w:w="19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Level 3 Operationalising</w:t>
            </w:r>
          </w:p>
        </w:tc>
        <w:tc>
          <w:tcPr>
            <w:tcW w:type="dxa" w:w="77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Shift to portfolio management, reusable platform components, a hub-and-spoke operating model and ISO/IEC 42001 alignment; introduce supervised agents</w:t>
            </w:r>
          </w:p>
        </w:tc>
      </w:tr>
      <w:tr>
        <w:tc>
          <w:tcPr>
            <w:tcW w:type="dxa" w:w="19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Level 4 Scaling</w:t>
            </w:r>
          </w:p>
        </w:tc>
        <w:tc>
          <w:tcPr>
            <w:tcW w:type="dxa" w:w="77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Expand agent autonomy where evidence supports it, automate policy enforcement, pursue certification where valuable, and build AI-enabled products</w:t>
            </w:r>
          </w:p>
        </w:tc>
      </w:tr>
    </w:tbl>
    <w:p>
      <w:pPr>
        <w:spacing w:after="120"/>
      </w:pPr>
    </w:p>
    <w:p>
      <w:pPr>
        <w:pStyle w:val="Heading2"/>
      </w:pPr>
      <w:r>
        <w:t xml:space="preserve">10.3 Common failure modes and remedies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3400"/>
        <w:gridCol w:w="3838"/>
      </w:tblGrid>
      <w:tr>
        <w:trPr>
          <w:tblHeader/>
        </w:trPr>
        <w:tc>
          <w:tcPr>
            <w:tcW w:type="dxa" w:w="2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Failure mode</w:t>
            </w:r>
          </w:p>
        </w:tc>
        <w:tc>
          <w:tcPr>
            <w:tcW w:type="dxa" w:w="34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Symptom</w:t>
            </w:r>
          </w:p>
        </w:tc>
        <w:tc>
          <w:tcPr>
            <w:tcW w:type="dxa" w:w="38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Remedy</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Pilot sprawl</w:t>
            </w:r>
          </w:p>
        </w:tc>
        <w:tc>
          <w:tcPr>
            <w:tcW w:type="dxa" w:w="3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Dozens of proofs of concept, few in production</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Portfolio gate; fund fewer use cases more deeply</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No baseline</w:t>
            </w:r>
          </w:p>
        </w:tc>
        <w:tc>
          <w:tcPr>
            <w:tcW w:type="dxa" w:w="3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Value claimed but not provable</w:t>
            </w:r>
          </w:p>
        </w:tc>
        <w:tc>
          <w:tcPr>
            <w:tcW w:type="dxa" w:w="3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Measure before launch; agree attribution with finance</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Governance bottleneck</w:t>
            </w:r>
          </w:p>
        </w:tc>
        <w:tc>
          <w:tcPr>
            <w:tcW w:type="dxa" w:w="3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Months-long reviews; teams bypass the process</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Risk tiers with a fast lane; approved patterns</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Data debt</w:t>
            </w:r>
          </w:p>
        </w:tc>
        <w:tc>
          <w:tcPr>
            <w:tcW w:type="dxa" w:w="3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Pilots work on hand-curated data and fail at scale</w:t>
            </w:r>
          </w:p>
        </w:tc>
        <w:tc>
          <w:tcPr>
            <w:tcW w:type="dxa" w:w="3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Treat data readiness as a platform investment</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Licences without adoption</w:t>
            </w:r>
          </w:p>
        </w:tc>
        <w:tc>
          <w:tcPr>
            <w:tcW w:type="dxa" w:w="3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Tools purchased; usage low and falling</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ADKAR diagnosis; embed AI in workflows; champions</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Autonomy too soon</w:t>
            </w:r>
          </w:p>
        </w:tc>
        <w:tc>
          <w:tcPr>
            <w:tcW w:type="dxa" w:w="3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Agents make costly or embarrassing mistakes</w:t>
            </w:r>
          </w:p>
        </w:tc>
        <w:tc>
          <w:tcPr>
            <w:tcW w:type="dxa" w:w="3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Start at a lower autonomy level; earn autonomy with evaluation evidence</w:t>
            </w:r>
          </w:p>
        </w:tc>
      </w:tr>
      <w:tr>
        <w:tc>
          <w:tcPr>
            <w:tcW w:type="dxa" w:w="2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Runaway cost</w:t>
            </w:r>
          </w:p>
        </w:tc>
        <w:tc>
          <w:tcPr>
            <w:tcW w:type="dxa" w:w="34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Spend grows faster than value</w:t>
            </w:r>
          </w:p>
        </w:tc>
        <w:tc>
          <w:tcPr>
            <w:tcW w:type="dxa" w:w="3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Unit economics; model routing; agent budgets</w:t>
            </w:r>
          </w:p>
        </w:tc>
      </w:tr>
      <w:tr>
        <w:tc>
          <w:tcPr>
            <w:tcW w:type="dxa" w:w="2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Partner dependency</w:t>
            </w:r>
          </w:p>
        </w:tc>
        <w:tc>
          <w:tcPr>
            <w:tcW w:type="dxa" w:w="34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Solution cannot evolve without the vendor</w:t>
            </w:r>
          </w:p>
        </w:tc>
        <w:tc>
          <w:tcPr>
            <w:tcW w:type="dxa" w:w="3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Build internal capability; own architecture, data and evaluations</w:t>
            </w:r>
          </w:p>
        </w:tc>
      </w:tr>
    </w:tbl>
    <w:p>
      <w:pPr>
        <w:spacing w:after="120"/>
      </w:pPr>
    </w:p>
    <w:p>
      <w:pPr>
        <w:pStyle w:val="Heading2"/>
      </w:pPr>
      <w:r>
        <w:t xml:space="preserve">10.4 Ten principles to take away</w:t>
      </w:r>
    </w:p>
    <w:p>
      <w:pPr>
        <w:pStyle w:val="ListParagraph"/>
        <w:numPr>
          <w:ilvl w:val="0"/>
          <w:numId w:val="9"/>
        </w:numPr>
        <w:spacing w:after="60"/>
      </w:pPr>
      <w:r>
        <w:rPr>
          <w:b w:val="false"/>
          <w:bCs w:val="false"/>
        </w:rPr>
        <w:t xml:space="preserve">Start from business outcomes and measure from a baseline.</w:t>
      </w:r>
    </w:p>
    <w:p>
      <w:pPr>
        <w:pStyle w:val="ListParagraph"/>
        <w:numPr>
          <w:ilvl w:val="0"/>
          <w:numId w:val="9"/>
        </w:numPr>
        <w:spacing w:after="60"/>
      </w:pPr>
      <w:r>
        <w:rPr>
          <w:b w:val="false"/>
          <w:bCs w:val="false"/>
        </w:rPr>
        <w:t xml:space="preserve">Fund a portfolio in stages, and make stopping normal.</w:t>
      </w:r>
    </w:p>
    <w:p>
      <w:pPr>
        <w:pStyle w:val="ListParagraph"/>
        <w:numPr>
          <w:ilvl w:val="0"/>
          <w:numId w:val="9"/>
        </w:numPr>
        <w:spacing w:after="60"/>
      </w:pPr>
      <w:r>
        <w:rPr>
          <w:b w:val="false"/>
          <w:bCs w:val="false"/>
        </w:rPr>
        <w:t xml:space="preserve">Make data readiness a platform investment, not a per-project chore.</w:t>
      </w:r>
    </w:p>
    <w:p>
      <w:pPr>
        <w:pStyle w:val="ListParagraph"/>
        <w:numPr>
          <w:ilvl w:val="0"/>
          <w:numId w:val="9"/>
        </w:numPr>
        <w:spacing w:after="60"/>
      </w:pPr>
      <w:r>
        <w:rPr>
          <w:b w:val="false"/>
          <w:bCs w:val="false"/>
        </w:rPr>
        <w:t xml:space="preserve">Govern in proportion to risk, and build governance into delivery.</w:t>
      </w:r>
    </w:p>
    <w:p>
      <w:pPr>
        <w:pStyle w:val="ListParagraph"/>
        <w:numPr>
          <w:ilvl w:val="0"/>
          <w:numId w:val="9"/>
        </w:numPr>
        <w:spacing w:after="60"/>
      </w:pPr>
      <w:r>
        <w:rPr>
          <w:b w:val="false"/>
          <w:bCs w:val="false"/>
        </w:rPr>
        <w:t xml:space="preserve">Use NIST AI RMF for practice and ISO/IEC 42001 for assurance.</w:t>
      </w:r>
    </w:p>
    <w:p>
      <w:pPr>
        <w:pStyle w:val="ListParagraph"/>
        <w:numPr>
          <w:ilvl w:val="0"/>
          <w:numId w:val="9"/>
        </w:numPr>
        <w:spacing w:after="60"/>
      </w:pPr>
      <w:r>
        <w:rPr>
          <w:b w:val="false"/>
          <w:bCs w:val="false"/>
        </w:rPr>
        <w:t xml:space="preserve">Manage the people side deliberately with ADKAR, group by group.</w:t>
      </w:r>
    </w:p>
    <w:p>
      <w:pPr>
        <w:pStyle w:val="ListParagraph"/>
        <w:numPr>
          <w:ilvl w:val="0"/>
          <w:numId w:val="9"/>
        </w:numPr>
        <w:spacing w:after="60"/>
      </w:pPr>
      <w:r>
        <w:rPr>
          <w:b w:val="false"/>
          <w:bCs w:val="false"/>
        </w:rPr>
        <w:t xml:space="preserve">Give agents the least autonomy that delivers the outcome; earn more with evidence.</w:t>
      </w:r>
    </w:p>
    <w:p>
      <w:pPr>
        <w:pStyle w:val="ListParagraph"/>
        <w:numPr>
          <w:ilvl w:val="0"/>
          <w:numId w:val="9"/>
        </w:numPr>
        <w:spacing w:after="60"/>
      </w:pPr>
      <w:r>
        <w:rPr>
          <w:b w:val="false"/>
          <w:bCs w:val="false"/>
        </w:rPr>
        <w:t xml:space="preserve">Treat agents as identities with least privilege, budgets and a kill switch.</w:t>
      </w:r>
    </w:p>
    <w:p>
      <w:pPr>
        <w:pStyle w:val="ListParagraph"/>
        <w:numPr>
          <w:ilvl w:val="0"/>
          <w:numId w:val="9"/>
        </w:numPr>
        <w:spacing w:after="60"/>
      </w:pPr>
      <w:r>
        <w:rPr>
          <w:b w:val="false"/>
          <w:bCs w:val="false"/>
        </w:rPr>
        <w:t xml:space="preserve">No evaluation set, no launch; observe quality, safety and cost continuously.</w:t>
      </w:r>
    </w:p>
    <w:p>
      <w:pPr>
        <w:pStyle w:val="ListParagraph"/>
        <w:numPr>
          <w:ilvl w:val="0"/>
          <w:numId w:val="9"/>
        </w:numPr>
        <w:spacing w:after="60"/>
      </w:pPr>
      <w:r>
        <w:rPr>
          <w:b w:val="false"/>
          <w:bCs w:val="false"/>
        </w:rPr>
        <w:t xml:space="preserve">Reassess maturity every six months and let the evidence drive the next step.</w:t>
      </w:r>
    </w:p>
    <w:p>
      <w:pPr>
        <w:pStyle w:val="Heading1"/>
      </w:pPr>
      <w:r>
        <w:t xml:space="preserve">Appendix A. Maturity self-assessment questionnaire</w:t>
      </w:r>
    </w:p>
    <w:p>
      <w:r>
        <w:rPr>
          <w:b w:val="false"/>
          <w:bCs w:val="false"/>
        </w:rPr>
        <w:t xml:space="preserve">Score each statement from 1 (not at all true) to 5 (fully true and evidenced). The average for each dimension gives an indicative maturity level. Run the assessment with a cross-functional group and record the evidence behind each score.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5838"/>
        <w:gridCol w:w="1600"/>
      </w:tblGrid>
      <w:tr>
        <w:trPr>
          <w:tblHeader/>
        </w:trPr>
        <w:tc>
          <w:tcPr>
            <w:tcW w:type="dxa" w:w="2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Dimension</w:t>
            </w:r>
          </w:p>
        </w:tc>
        <w:tc>
          <w:tcPr>
            <w:tcW w:type="dxa" w:w="58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Statement</w:t>
            </w:r>
          </w:p>
        </w:tc>
        <w:tc>
          <w:tcPr>
            <w:tcW w:type="dxa" w:w="1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Score</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Strategy and value</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We have an AI strategy linked to named business objectives.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 Every AI use case has a business owner, a headline KPI and a baseline.</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3. We manage AI as a portfolio with stage-gate funding.</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4. We report realised value and unit cost at least quarterly.</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People and culture</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5. An executive sponsor actively leads the AI programme.</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6. Role-based AI literacy training is available and widely completed.</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7. We have a CoE or hub-and-spoke model with clear roles.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8. We measure adoption and act on ADKAR barriers for each group.</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Governance and risk</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9. We have a published AI policy and acceptable-use guidance.</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10. We use a risk-tiering scheme with defined controls and approvers.</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11. We keep a complete inventory of AI systems and agents.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12. Our approach is aligned to NIST AI RMF and/or ISO/IEC 42001.</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Data foundations</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13. Priority data domains are catalogued, governed and quality-measured.</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14. Retrieval preserves source permissions.</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15. We have a business glossary or semantic layer that AI can use.</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16. Lineage, consent and licensing are known for AI data.</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Platform and agentic AI</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17. We have a shared platform with a model gateway and guardrails.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18. We can switch models without rewriting applications.</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19. We maintain agent and tool registries.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20. Agents are deployed at defined autonomy levels with human checkpoints.</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Security</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21. AI threat modelling is part of design for every use case.</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22. We red team for injection and data leakage before launch.</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23. Agents have their own identities and least-privilege access.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24. AI telemetry is monitored by our security operations team.</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Operations and observability</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25. Every production use case has an evaluation set and pass thresholds.</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26. We trace prompts, retrievals and tool calls end to end.</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27. Quality, safety and cost dashboards are reviewed regularly.</w:t>
            </w:r>
          </w:p>
        </w:tc>
        <w:tc>
          <w:tcPr>
            <w:tcW w:type="dxa" w:w="1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r>
        <w:tc>
          <w:tcPr>
            <w:tcW w:type="dxa" w:w="2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28. We have an AI incident process that has been rehearsed.</w:t>
            </w:r>
          </w:p>
        </w:tc>
        <w:tc>
          <w:tcPr>
            <w:tcW w:type="dxa" w:w="1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1  2  3  4  5</w:t>
            </w:r>
          </w:p>
        </w:tc>
      </w:tr>
    </w:tbl>
    <w:p>
      <w:pPr>
        <w:spacing w:after="120"/>
      </w:pPr>
    </w:p>
    <w:p>
      <w:r>
        <w:rPr>
          <w:b w:val="false"/>
          <w:bCs w:val="false"/>
          <w:sz w:val="18"/>
          <w:szCs w:val="18"/>
        </w:rPr>
        <w:t xml:space="preserve">Average score guide: 1.0 to 1.7 = Level 1; 1.8 to 2.5 = Level 2; 2.6 to 3.3 = Level 3; 3.4 to 4.2 = Level 4; 4.3 to 5.0 = Level 5.</w:t>
      </w:r>
    </w:p>
    <w:p>
      <w:pPr>
        <w:pStyle w:val="Heading1"/>
      </w:pPr>
      <w:r>
        <w:t xml:space="preserve">Appendix B. Use-case canvas</w:t>
      </w:r>
    </w:p>
    <w:p>
      <w:r>
        <w:rPr>
          <w:b w:val="false"/>
          <w:bCs w:val="false"/>
        </w:rPr>
        <w:t xml:space="preserve">Complete one canvas per candidate use case. It brings together the information needed for prioritisation (Section 3.2), risk tiering (Section 5.7) and value tracking (Section 3.4).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Field</w:t>
            </w:r>
          </w:p>
        </w:tc>
        <w:tc>
          <w:tcPr>
            <w:tcW w:type="dxa" w:w="68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Prompt</w:t>
            </w:r>
          </w:p>
        </w:tc>
      </w:tr>
      <w:tr>
        <w:tc>
          <w:tcPr>
            <w:tcW w:type="dxa" w:w="2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Use case name and owner</w:t>
            </w:r>
          </w:p>
        </w:tc>
        <w:tc>
          <w:tcPr>
            <w:tcW w:type="dxa" w:w="6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Short name; accountable business owner; delivery lead</w:t>
            </w:r>
          </w:p>
        </w:tc>
      </w:tr>
      <w:tr>
        <w:tc>
          <w:tcPr>
            <w:tcW w:type="dxa" w:w="2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Problem and objective</w:t>
            </w:r>
          </w:p>
        </w:tc>
        <w:tc>
          <w:tcPr>
            <w:tcW w:type="dxa" w:w="6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Which strategic objective does this support? What problem does it solve, and for whom?</w:t>
            </w:r>
          </w:p>
        </w:tc>
      </w:tr>
      <w:tr>
        <w:tc>
          <w:tcPr>
            <w:tcW w:type="dxa" w:w="2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Users and affected parties</w:t>
            </w:r>
          </w:p>
        </w:tc>
        <w:tc>
          <w:tcPr>
            <w:tcW w:type="dxa" w:w="6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Who uses it? Who is affected by its outputs or actions?</w:t>
            </w:r>
          </w:p>
        </w:tc>
      </w:tr>
      <w:tr>
        <w:tc>
          <w:tcPr>
            <w:tcW w:type="dxa" w:w="2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Value hypothesis and KPI</w:t>
            </w:r>
          </w:p>
        </w:tc>
        <w:tc>
          <w:tcPr>
            <w:tcW w:type="dxa" w:w="6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Headline KPI, baseline, target and date; leading indicators</w:t>
            </w:r>
          </w:p>
        </w:tc>
      </w:tr>
      <w:tr>
        <w:tc>
          <w:tcPr>
            <w:tcW w:type="dxa" w:w="2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Workflow and autonomy level</w:t>
            </w:r>
          </w:p>
        </w:tc>
        <w:tc>
          <w:tcPr>
            <w:tcW w:type="dxa" w:w="6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Current process; future process; autonomy level (0 to 4); human checkpoints</w:t>
            </w:r>
          </w:p>
        </w:tc>
      </w:tr>
      <w:tr>
        <w:tc>
          <w:tcPr>
            <w:tcW w:type="dxa" w:w="2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Data and knowledge</w:t>
            </w:r>
          </w:p>
        </w:tc>
        <w:tc>
          <w:tcPr>
            <w:tcW w:type="dxa" w:w="6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Sources, quality, permissions, personal data, freshness</w:t>
            </w:r>
          </w:p>
        </w:tc>
      </w:tr>
      <w:tr>
        <w:tc>
          <w:tcPr>
            <w:tcW w:type="dxa" w:w="2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Tools and integrations</w:t>
            </w:r>
          </w:p>
        </w:tc>
        <w:tc>
          <w:tcPr>
            <w:tcW w:type="dxa" w:w="6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Systems read and written; APIs; MCP servers</w:t>
            </w:r>
          </w:p>
        </w:tc>
      </w:tr>
      <w:tr>
        <w:tc>
          <w:tcPr>
            <w:tcW w:type="dxa" w:w="2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Risk tier and key risks</w:t>
            </w:r>
          </w:p>
        </w:tc>
        <w:tc>
          <w:tcPr>
            <w:tcW w:type="dxa" w:w="6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Tier 1 to 3; relevant GenAI Profile risks; regulatory considerations</w:t>
            </w:r>
          </w:p>
        </w:tc>
      </w:tr>
      <w:tr>
        <w:tc>
          <w:tcPr>
            <w:tcW w:type="dxa" w:w="2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Evaluation plan</w:t>
            </w:r>
          </w:p>
        </w:tc>
        <w:tc>
          <w:tcPr>
            <w:tcW w:type="dxa" w:w="6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Golden dataset; metrics; pass thresholds; human review approach</w:t>
            </w:r>
          </w:p>
        </w:tc>
      </w:tr>
      <w:tr>
        <w:tc>
          <w:tcPr>
            <w:tcW w:type="dxa" w:w="2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Cost estimate</w:t>
            </w:r>
          </w:p>
        </w:tc>
        <w:tc>
          <w:tcPr>
            <w:tcW w:type="dxa" w:w="6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Expected volume; cost per task; total cost of ownership</w:t>
            </w:r>
          </w:p>
        </w:tc>
      </w:tr>
      <w:tr>
        <w:tc>
          <w:tcPr>
            <w:tcW w:type="dxa" w:w="2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Change impact (ADKAR)</w:t>
            </w:r>
          </w:p>
        </w:tc>
        <w:tc>
          <w:tcPr>
            <w:tcW w:type="dxa" w:w="6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Impacted groups; barriers expected; enablement plan</w:t>
            </w:r>
          </w:p>
        </w:tc>
      </w:tr>
      <w:tr>
        <w:tc>
          <w:tcPr>
            <w:tcW w:type="dxa" w:w="2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Scores</w:t>
            </w:r>
          </w:p>
        </w:tc>
        <w:tc>
          <w:tcPr>
            <w:tcW w:type="dxa" w:w="6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Value __ / Feasibility __ / Risk (inverse) __ / Time to value __</w:t>
            </w:r>
          </w:p>
        </w:tc>
      </w:tr>
    </w:tbl>
    <w:p>
      <w:pPr>
        <w:spacing w:after="120"/>
      </w:pPr>
    </w:p>
    <w:p>
      <w:pPr>
        <w:pStyle w:val="Heading1"/>
      </w:pPr>
      <w:r>
        <w:t xml:space="preserve">Appendix C. Agent risk-tiering checklist</w:t>
      </w:r>
    </w:p>
    <w:p>
      <w:r>
        <w:rPr>
          <w:b w:val="false"/>
          <w:bCs w:val="false"/>
        </w:rPr>
        <w:t xml:space="preserve">Answer each question for a proposed agent. Each Yes adds points. The total suggests the minimum risk tier and the controls required before deployment.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6638"/>
        <w:gridCol w:w="1200"/>
        <w:gridCol w:w="1200"/>
      </w:tblGrid>
      <w:tr>
        <w:trPr>
          <w:tblHeader/>
        </w:trPr>
        <w:tc>
          <w:tcPr>
            <w:tcW w:type="dxa" w:w="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w:t>
            </w:r>
          </w:p>
        </w:tc>
        <w:tc>
          <w:tcPr>
            <w:tcW w:type="dxa" w:w="66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Question</w:t>
            </w:r>
          </w:p>
        </w:tc>
        <w:tc>
          <w:tcPr>
            <w:tcW w:type="dxa" w:w="1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Yes</w:t>
            </w:r>
          </w:p>
        </w:tc>
        <w:tc>
          <w:tcPr>
            <w:tcW w:type="dxa" w:w="12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Points</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1</w:t>
            </w:r>
          </w:p>
        </w:tc>
        <w:tc>
          <w:tcPr>
            <w:tcW w:type="dxa" w:w="6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Can the agent write to, change or delete records in business systems?</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3</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2</w:t>
            </w:r>
          </w:p>
        </w:tc>
        <w:tc>
          <w:tcPr>
            <w:tcW w:type="dxa" w:w="6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Can it take irreversible actions (payments, external messages, production changes)?</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3</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3</w:t>
            </w:r>
          </w:p>
        </w:tc>
        <w:tc>
          <w:tcPr>
            <w:tcW w:type="dxa" w:w="6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 its actions or outputs significantly affect people (customers, employees, citizens)?</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3</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4</w:t>
            </w:r>
          </w:p>
        </w:tc>
        <w:tc>
          <w:tcPr>
            <w:tcW w:type="dxa" w:w="6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Is it used in a regulated or high-risk domain (for example, credit, employment, health)?</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3</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5</w:t>
            </w:r>
          </w:p>
        </w:tc>
        <w:tc>
          <w:tcPr>
            <w:tcW w:type="dxa" w:w="6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Does it process personal, confidential or regulated data?</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2</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6</w:t>
            </w:r>
          </w:p>
        </w:tc>
        <w:tc>
          <w:tcPr>
            <w:tcW w:type="dxa" w:w="6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Does it act without a human approving each action?</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2</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7</w:t>
            </w:r>
          </w:p>
        </w:tc>
        <w:tc>
          <w:tcPr>
            <w:tcW w:type="dxa" w:w="6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Does it read untrusted external content (web, inbound email, uploaded files)?</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2</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8</w:t>
            </w:r>
          </w:p>
        </w:tc>
        <w:tc>
          <w:tcPr>
            <w:tcW w:type="dxa" w:w="6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Does it call third-party tools, MCP servers or other agents?</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1</w:t>
            </w:r>
          </w:p>
        </w:tc>
      </w:tr>
      <w:tr>
        <w:tc>
          <w:tcPr>
            <w:tcW w:type="dxa" w:w="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9</w:t>
            </w:r>
          </w:p>
        </w:tc>
        <w:tc>
          <w:tcPr>
            <w:tcW w:type="dxa" w:w="66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Does it face external users directly?</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1</w:t>
            </w:r>
          </w:p>
        </w:tc>
      </w:tr>
      <w:tr>
        <w:tc>
          <w:tcPr>
            <w:tcW w:type="dxa" w:w="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10</w:t>
            </w:r>
          </w:p>
        </w:tc>
        <w:tc>
          <w:tcPr>
            <w:tcW w:type="dxa" w:w="66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Does it have long-term memory across sessions?</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w:t>
            </w:r>
          </w:p>
        </w:tc>
        <w:tc>
          <w:tcPr>
            <w:tcW w:type="dxa" w:w="12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1</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2000"/>
        <w:gridCol w:w="5838"/>
      </w:tblGrid>
      <w:tr>
        <w:trPr>
          <w:tblHeader/>
        </w:trPr>
        <w:tc>
          <w:tcPr>
            <w:tcW w:type="dxa" w:w="18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Total points</w:t>
            </w:r>
          </w:p>
        </w:tc>
        <w:tc>
          <w:tcPr>
            <w:tcW w:type="dxa" w:w="20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Indicative tier</w:t>
            </w:r>
          </w:p>
        </w:tc>
        <w:tc>
          <w:tcPr>
            <w:tcW w:type="dxa" w:w="58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Minimum controls before deployment</w:t>
            </w:r>
          </w:p>
        </w:tc>
      </w:tr>
      <w:tr>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0 to 4</w:t>
            </w:r>
          </w:p>
        </w:tc>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Tier 1 Low</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Registry entry; scoped read-only tools; tracing; budget limits</w:t>
            </w:r>
          </w:p>
        </w:tc>
      </w:tr>
      <w:tr>
        <w:tc>
          <w:tcPr>
            <w:tcW w:type="dxa" w:w="1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5 to 10</w:t>
            </w:r>
          </w:p>
        </w:tc>
        <w:tc>
          <w:tcPr>
            <w:tcW w:type="dxa" w:w="20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Tier 2 Moderate</w:t>
            </w:r>
          </w:p>
        </w:tc>
        <w:tc>
          <w:tcPr>
            <w:tcW w:type="dxa" w:w="58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Tier 1 plus agent identity, guardrails, evaluation set, human approval for writes, monitoring</w:t>
            </w:r>
          </w:p>
        </w:tc>
      </w:tr>
      <w:tr>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11 or more</w:t>
            </w:r>
          </w:p>
        </w:tc>
        <w:tc>
          <w:tcPr>
            <w:tcW w:type="dxa" w:w="20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Tier 3 High</w:t>
            </w:r>
          </w:p>
        </w:tc>
        <w:tc>
          <w:tcPr>
            <w:tcW w:type="dxa" w:w="58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Tier 2 plus impact assessment, red team, approval gates for all high-impact actions, kill switch, incident plan, periodic audit</w:t>
            </w:r>
          </w:p>
        </w:tc>
      </w:tr>
    </w:tbl>
    <w:p>
      <w:pPr>
        <w:spacing w:after="120"/>
      </w:pPr>
    </w:p>
    <w:p>
      <w:pPr>
        <w:pStyle w:val="Heading1"/>
      </w:pPr>
      <w:r>
        <w:t xml:space="preserve">Appendix D. Glossary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Term</w:t>
            </w:r>
          </w:p>
        </w:tc>
        <w:tc>
          <w:tcPr>
            <w:tcW w:type="dxa" w:w="70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7"/>
                <w:szCs w:val="17"/>
              </w:rPr>
              <w:t xml:space="preserve">Definition</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ADKAR</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Prosci change model: Awareness, Desire, Knowledge, Ability, Reinforcement</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Agent (AI agent)</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 system that pursues a goal by planning, using tools and taking actions with some independence</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Agentic AI</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AI systems built from one or more agents that can act and coordinate, not just generate content</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AI inventory / registry</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Central record of all AI systems and agents with owners, risk tiers and status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AI TRiSM</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Gartner term for AI trust, risk and security management capabilities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AIMS</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AI management system, as defined by ISO/IEC 42001</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CAF-AI</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AWS Cloud Adoption Framework for AI, ML and Generative AI: six perspectives and a transformation journey</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Confabulation</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Generation of plausible but false content, often called hallucination</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Evaluation set (golden dataset)</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Curated inputs with expected outcomes used to test AI quality</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Guardrails</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Controls that filter or constrain AI inputs, outputs and actions according to policy</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Human in the loop</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 design where a human reviews or approves AI outputs or actions at defined points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LLM-as-judge</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Using a language model to grade outputs against a rubric, calibrated against human judgement</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LLMOps</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Practices for developing, releasing and operating large-language-model applications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MCP</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Model Context Protocol: an open standard for connecting AI applications and agents to tools and data</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NIST AI RMF</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US National Institute of Standards and Technology AI Risk Management Framework (Govern, Map, Measure, Manage)</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Prompt injection</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An attack in which crafted input or content manipulates a model into ignoring its instructions</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RAG</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Retrieval-augmented generation: grounding model answers in retrieved enterprise content</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Semantic layer</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A shared business definition of data entities and metrics that people, tools and AI can use consistently</w:t>
            </w:r>
          </w:p>
        </w:tc>
      </w:tr>
      <w:tr>
        <w:tc>
          <w:tcPr>
            <w:tcW w:type="dxa" w:w="26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7"/>
                <w:szCs w:val="17"/>
              </w:rPr>
              <w:t xml:space="preserve">Value realisation</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The discipline of planning, measuring and capturing the business benefits of an investment</w:t>
            </w:r>
          </w:p>
        </w:tc>
      </w:tr>
    </w:tbl>
    <w:p>
      <w:pPr>
        <w:spacing w:after="120"/>
      </w:pPr>
    </w:p>
    <w:p>
      <w:pPr>
        <w:pStyle w:val="Heading1"/>
      </w:pPr>
      <w:r>
        <w:t xml:space="preserve">Appendix E. Worked examples: two contrasting maturity profiles</w:t>
      </w:r>
    </w:p>
    <w:p>
      <w:r>
        <w:rPr>
          <w:b w:val="false"/>
          <w:bCs w:val="false"/>
        </w:rPr>
        <w:t xml:space="preserve">These two fictional organisations show how to read the self-assessment in practice. Each one is also available as a completed copy of the companion scoring spreadsheet, with all 28 scores, evidence notes, results, a radar chart and an action plan. Used together, they show trainees why the full profile matters more than a single headline level.</w:t>
      </w:r>
    </w:p>
    <w:p>
      <w:r>
        <w:rPr>
          <w:b w:val="false"/>
          <w:bCs w:val="false"/>
          <w:color w:val="5A6270"/>
          <w:sz w:val="18"/>
          <w:szCs w:val="18"/>
        </w:rPr>
        <w:t xml:space="preserve"/>
      </w:r>
      <w:r>
        <w:rPr>
          <w:b/>
          <w:bCs/>
          <w:color w:val="5A6270"/>
          <w:sz w:val="18"/>
          <w:szCs w:val="18"/>
        </w:rPr>
        <w:t xml:space="preserve">Companion files:</w:t>
      </w:r>
      <w:r>
        <w:rPr>
          <w:b w:val="false"/>
          <w:bCs w:val="false"/>
          <w:color w:val="5A6270"/>
          <w:sz w:val="18"/>
          <w:szCs w:val="18"/>
        </w:rPr>
        <w:t xml:space="preserve"> AI_Maturity_Self_Assessment.xlsx (blank tool); AI_Maturity_Self_Assessment_Worked_Example.xlsx (Northwind); AI_Maturity_Self_Assessment_Worked_Example_2.xlsx (Contoso).</w:t>
      </w:r>
    </w:p>
    <w:p>
      <w:pPr>
        <w:pStyle w:val="Heading2"/>
      </w:pPr>
      <w:r>
        <w:t xml:space="preserve">E.1 The two profiles side by side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38"/>
        <w:gridCol w:w="1100"/>
        <w:gridCol w:w="1650"/>
        <w:gridCol w:w="1100"/>
        <w:gridCol w:w="1800"/>
        <w:gridCol w:w="1650"/>
      </w:tblGrid>
      <w:tr>
        <w:trPr>
          <w:tblHeader/>
        </w:trPr>
        <w:tc>
          <w:tcPr>
            <w:tcW w:type="dxa" w:w="2338"/>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Dimension</w:t>
            </w:r>
          </w:p>
        </w:tc>
        <w:tc>
          <w:tcPr>
            <w:tcW w:type="dxa" w:w="11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Northwind score</w:t>
            </w:r>
          </w:p>
        </w:tc>
        <w:tc>
          <w:tcPr>
            <w:tcW w:type="dxa" w:w="165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Northwind level</w:t>
            </w:r>
          </w:p>
        </w:tc>
        <w:tc>
          <w:tcPr>
            <w:tcW w:type="dxa" w:w="11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Contoso score</w:t>
            </w:r>
          </w:p>
        </w:tc>
        <w:tc>
          <w:tcPr>
            <w:tcW w:type="dxa" w:w="180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Contoso level</w:t>
            </w:r>
          </w:p>
        </w:tc>
        <w:tc>
          <w:tcPr>
            <w:tcW w:type="dxa" w:w="1650"/>
            <w:tcBorders>
              <w:top w:val="single" w:color="D0D7E1" w:sz="4"/>
              <w:left w:val="single" w:color="D0D7E1" w:sz="4"/>
              <w:bottom w:val="single" w:color="D0D7E1" w:sz="4"/>
              <w:right w:val="single" w:color="D0D7E1" w:sz="4"/>
            </w:tcBorders>
            <w:shd w:fill="1F3A5F" w:color="auto" w:val="clear"/>
            <w:tcMar>
              <w:top w:type="dxa" w:w="70"/>
              <w:left w:type="dxa" w:w="100"/>
              <w:bottom w:type="dxa" w:w="70"/>
              <w:right w:type="dxa" w:w="100"/>
            </w:tcMar>
            <w:vAlign w:val="top"/>
          </w:tcPr>
          <w:p>
            <w:pPr>
              <w:spacing w:after="40" w:line="252"/>
            </w:pPr>
            <w:r>
              <w:rPr>
                <w:b/>
                <w:bCs/>
                <w:color w:val="FFFFFF"/>
                <w:sz w:val="16"/>
                <w:szCs w:val="16"/>
              </w:rPr>
              <w:t xml:space="preserve">Ceiling dimension</w:t>
            </w:r>
          </w:p>
        </w:tc>
      </w:tr>
      <w:tr>
        <w:tc>
          <w:tcPr>
            <w:tcW w:type="dxa" w:w="2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Strategy and value</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3.00</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3 Operationalising</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2.25</w:t>
            </w:r>
          </w:p>
        </w:tc>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 Experimenting</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No</w:t>
            </w:r>
          </w:p>
        </w:tc>
      </w:tr>
      <w:tr>
        <w:tc>
          <w:tcPr>
            <w:tcW w:type="dxa" w:w="2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People and culture</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2.50</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 Experimenting</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1.50</w:t>
            </w:r>
          </w:p>
        </w:tc>
        <w:tc>
          <w:tcPr>
            <w:tcW w:type="dxa" w:w="1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Exploring</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No</w:t>
            </w:r>
          </w:p>
        </w:tc>
      </w:tr>
      <w:tr>
        <w:tc>
          <w:tcPr>
            <w:tcW w:type="dxa" w:w="2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Governance and risk</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2.00</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 Experimenting</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3.50</w:t>
            </w:r>
          </w:p>
        </w:tc>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4 Scaling</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Yes</w:t>
            </w:r>
          </w:p>
        </w:tc>
      </w:tr>
      <w:tr>
        <w:tc>
          <w:tcPr>
            <w:tcW w:type="dxa" w:w="2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Data foundations</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1.50</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Exploring</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3.00</w:t>
            </w:r>
          </w:p>
        </w:tc>
        <w:tc>
          <w:tcPr>
            <w:tcW w:type="dxa" w:w="1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3 Operationalising</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Yes</w:t>
            </w:r>
          </w:p>
        </w:tc>
      </w:tr>
      <w:tr>
        <w:tc>
          <w:tcPr>
            <w:tcW w:type="dxa" w:w="2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Platform and agentic AI</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2.50</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 Experimenting</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2.00</w:t>
            </w:r>
          </w:p>
        </w:tc>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 Experimenting</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No</w:t>
            </w:r>
          </w:p>
        </w:tc>
      </w:tr>
      <w:tr>
        <w:tc>
          <w:tcPr>
            <w:tcW w:type="dxa" w:w="2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Security</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1.75</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1 Exploring</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3.25</w:t>
            </w:r>
          </w:p>
        </w:tc>
        <w:tc>
          <w:tcPr>
            <w:tcW w:type="dxa" w:w="1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3 Operationalising</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Yes</w:t>
            </w:r>
          </w:p>
        </w:tc>
      </w:tr>
      <w:tr>
        <w:tc>
          <w:tcPr>
            <w:tcW w:type="dxa" w:w="2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Operations and observability</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1.50</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1 Exploring</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2.75</w:t>
            </w:r>
          </w:p>
        </w:tc>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3 Operationalising</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No</w:t>
            </w:r>
          </w:p>
        </w:tc>
      </w:tr>
      <w:tr>
        <w:tc>
          <w:tcPr>
            <w:tcW w:type="dxa" w:w="23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6"/>
                <w:szCs w:val="16"/>
              </w:rPr>
              <w:t xml:space="preserve">Average score (level)</w:t>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2.11 (Level 2)</w:t>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
            </w:r>
          </w:p>
        </w:tc>
        <w:tc>
          <w:tcPr>
            <w:tcW w:type="dxa" w:w="11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2.61 (Level 3)</w:t>
            </w:r>
          </w:p>
        </w:tc>
        <w:tc>
          <w:tcPr>
            <w:tcW w:type="dxa" w:w="18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
            </w:r>
          </w:p>
        </w:tc>
        <w:tc>
          <w:tcPr>
            <w:tcW w:type="dxa" w:w="165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6"/>
                <w:szCs w:val="16"/>
              </w:rPr>
              <w:t xml:space="preserve"/>
            </w:r>
          </w:p>
        </w:tc>
      </w:tr>
      <w:tr>
        <w:tc>
          <w:tcPr>
            <w:tcW w:type="dxa" w:w="23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bCs/>
                <w:color w:val="1F3A5F"/>
                <w:sz w:val="16"/>
                <w:szCs w:val="16"/>
              </w:rPr>
              <w:t xml:space="preserve">Reported overall maturity</w:t>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Level 1 Exploring</w:t>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
            </w:r>
          </w:p>
        </w:tc>
        <w:tc>
          <w:tcPr>
            <w:tcW w:type="dxa" w:w="11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Level 3 Operationalising</w:t>
            </w:r>
          </w:p>
        </w:tc>
        <w:tc>
          <w:tcPr>
            <w:tcW w:type="dxa" w:w="180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
            </w:r>
          </w:p>
        </w:tc>
        <w:tc>
          <w:tcPr>
            <w:tcW w:type="dxa" w:w="1650"/>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6"/>
                <w:szCs w:val="16"/>
              </w:rPr>
              <w:t xml:space="preserve">Ceiling rule</w:t>
            </w:r>
          </w:p>
        </w:tc>
      </w:tr>
    </w:tbl>
    <w:p>
      <w:pPr>
        <w:spacing w:after="120"/>
      </w:pPr>
    </w:p>
    <w:p>
      <w:r>
        <w:rPr>
          <w:b w:val="false"/>
          <w:bCs w:val="false"/>
          <w:color w:val="5A6270"/>
          <w:sz w:val="18"/>
          <w:szCs w:val="18"/>
        </w:rPr>
        <w:t xml:space="preserve">The reported overall maturity uses the ceiling rule from Section 2.3: the lowest level among Governance and risk, Data foundations and Security.</w:t>
      </w:r>
    </w:p>
    <w:p>
      <w:pPr>
        <w:pStyle w:val="Heading2"/>
      </w:pPr>
      <w:r>
        <w:t xml:space="preserve">E.2 Example 1: Northwind Retail Group (pilot purgatory)</w:t>
      </w:r>
    </w:p>
    <w:p>
      <w:r>
        <w:rPr>
          <w:b w:val="false"/>
          <w:bCs w:val="false"/>
        </w:rPr>
        <w:t xml:space="preserve"/>
      </w:r>
      <w:r>
        <w:rPr>
          <w:b/>
          <w:bCs/>
        </w:rPr>
        <w:t xml:space="preserve">Context.</w:t>
      </w:r>
      <w:r>
        <w:rPr>
          <w:b w:val="false"/>
          <w:bCs w:val="false"/>
        </w:rPr>
        <w:t xml:space="preserve"> A mid-sized retailer with a board-approved AI strategy, a COO sponsor and nine use cases heading for production, including a customer-service agent pilot.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Headline</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Average 2.11 suggests Level 2, but the reported overall maturity is </w:t>
            </w:r>
            <w:r>
              <w:rPr>
                <w:b/>
                <w:bCs/>
                <w:sz w:val="17"/>
                <w:szCs w:val="17"/>
              </w:rPr>
              <w:t xml:space="preserve">Level 1</w:t>
            </w:r>
            <w:r>
              <w:rPr>
                <w:b w:val="false"/>
                <w:bCs w:val="false"/>
                <w:sz w:val="17"/>
                <w:szCs w:val="17"/>
              </w:rPr>
              <w:t xml:space="preserve">, because Data foundations (1.50) and Security (1.75) both score at Level 1.</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Profile</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Pilot purgatory: strategy and sponsorship are ahead of data, security and operations.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Key evidence</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7"/>
                <w:szCs w:val="17"/>
              </w:rPr>
              <w:t xml:space="preserve">Retrieval indexes were built from a shared-drive export without permissions.</w:t>
            </w:r>
          </w:p>
          <w:p>
            <w:pPr>
              <w:pStyle w:val="ListParagraph"/>
              <w:numPr>
                <w:ilvl w:val="0"/>
                <w:numId w:val="4"/>
              </w:numPr>
              <w:spacing w:after="30" w:line="252"/>
            </w:pPr>
            <w:r>
              <w:rPr>
                <w:b w:val="false"/>
                <w:bCs w:val="false"/>
                <w:sz w:val="17"/>
                <w:szCs w:val="17"/>
              </w:rPr>
              <w:t xml:space="preserve">The service agent writes to the CRM through a shared account with broad access.</w:t>
            </w:r>
          </w:p>
          <w:p>
            <w:pPr>
              <w:pStyle w:val="ListParagraph"/>
              <w:numPr>
                <w:ilvl w:val="0"/>
                <w:numId w:val="4"/>
              </w:numPr>
              <w:spacing w:after="30" w:line="252"/>
            </w:pPr>
            <w:r>
              <w:rPr>
                <w:b w:val="false"/>
                <w:bCs w:val="false"/>
                <w:sz w:val="17"/>
                <w:szCs w:val="17"/>
              </w:rPr>
              <w:t xml:space="preserve">No end-to-end tracing and no AI incident process.</w:t>
            </w:r>
          </w:p>
          <w:p>
            <w:pPr>
              <w:pStyle w:val="ListParagraph"/>
              <w:numPr>
                <w:ilvl w:val="0"/>
                <w:numId w:val="4"/>
              </w:numPr>
              <w:spacing w:after="30" w:line="252"/>
            </w:pPr>
            <w:r>
              <w:rPr>
                <w:b w:val="false"/>
                <w:bCs w:val="false"/>
                <w:sz w:val="17"/>
                <w:szCs w:val="17"/>
              </w:rPr>
              <w:t xml:space="preserve">Only 4 of 14 use cases have measured baselines.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Priorities</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High: Governance and risk, Data foundations, Security, Operations and observability. Medium: Strategy and value, People and culture, Platform and agentic AI.</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Next 90 days</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Pause scaling new use cases. Fix retrieval permissions and agent identity first, introduce risk tiers with a fast lane, and add tracing and an incident playbook. Then resume with 3 to 5 lead use cases.</w:t>
            </w:r>
          </w:p>
        </w:tc>
      </w:tr>
    </w:tbl>
    <w:p>
      <w:pPr>
        <w:spacing w:after="120"/>
      </w:pPr>
    </w:p>
    <w:p>
      <w:pPr>
        <w:pStyle w:val="Heading2"/>
      </w:pPr>
      <w:r>
        <w:t xml:space="preserve">E.3 Example 2: Contoso Financial Services (compliance freeze)</w:t>
      </w:r>
    </w:p>
    <w:p>
      <w:r>
        <w:rPr>
          <w:b w:val="false"/>
          <w:bCs w:val="false"/>
        </w:rPr>
        <w:t xml:space="preserve"/>
      </w:r>
      <w:r>
        <w:rPr>
          <w:b/>
          <w:bCs/>
        </w:rPr>
        <w:t xml:space="preserve">Context.</w:t>
      </w:r>
      <w:r>
        <w:rPr>
          <w:b w:val="false"/>
          <w:bCs w:val="false"/>
        </w:rPr>
        <w:t xml:space="preserve"> A regulated financial-services firm with mature controls, an approved assistant licensed to 4,000 staff, and no agents in production.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Headline</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Average 2.61 and reported overall maturity both give </w:t>
            </w:r>
            <w:r>
              <w:rPr>
                <w:b/>
                <w:bCs/>
                <w:sz w:val="17"/>
                <w:szCs w:val="17"/>
              </w:rPr>
              <w:t xml:space="preserve">Level 3</w:t>
            </w:r>
            <w:r>
              <w:rPr>
                <w:b w:val="false"/>
                <w:bCs w:val="false"/>
                <w:sz w:val="17"/>
                <w:szCs w:val="17"/>
              </w:rPr>
              <w:t xml:space="preserve">. The ceiling rule is not what holds Contoso back.</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Profile</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Compliance freeze: strong governance and foundations, but weak adoption, value tracking and agentic delivery.</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Key evidence</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pStyle w:val="ListParagraph"/>
              <w:numPr>
                <w:ilvl w:val="0"/>
                <w:numId w:val="4"/>
              </w:numPr>
              <w:spacing w:after="30" w:line="252"/>
            </w:pPr>
            <w:r>
              <w:rPr>
                <w:b w:val="false"/>
                <w:bCs w:val="false"/>
                <w:sz w:val="17"/>
                <w:szCs w:val="17"/>
              </w:rPr>
              <w:t xml:space="preserve">About 9% of licensed staff use the assistant weekly; training covers risk only.</w:t>
            </w:r>
          </w:p>
          <w:p>
            <w:pPr>
              <w:pStyle w:val="ListParagraph"/>
              <w:numPr>
                <w:ilvl w:val="0"/>
                <w:numId w:val="4"/>
              </w:numPr>
              <w:spacing w:after="30" w:line="252"/>
            </w:pPr>
            <w:r>
              <w:rPr>
                <w:b w:val="false"/>
                <w:bCs w:val="false"/>
                <w:sz w:val="17"/>
                <w:szCs w:val="17"/>
              </w:rPr>
              <w:t xml:space="preserve">Every request goes to one committee: no risk tiers, 11-week average approval.</w:t>
            </w:r>
          </w:p>
          <w:p>
            <w:pPr>
              <w:pStyle w:val="ListParagraph"/>
              <w:numPr>
                <w:ilvl w:val="0"/>
                <w:numId w:val="4"/>
              </w:numPr>
              <w:spacing w:after="30" w:line="252"/>
            </w:pPr>
            <w:r>
              <w:rPr>
                <w:b w:val="false"/>
                <w:bCs w:val="false"/>
                <w:sz w:val="17"/>
                <w:szCs w:val="17"/>
              </w:rPr>
              <w:t xml:space="preserve">One approved model; switching requires a new risk review.</w:t>
            </w:r>
          </w:p>
          <w:p>
            <w:pPr>
              <w:pStyle w:val="ListParagraph"/>
              <w:numPr>
                <w:ilvl w:val="0"/>
                <w:numId w:val="4"/>
              </w:numPr>
              <w:spacing w:after="30" w:line="252"/>
            </w:pPr>
            <w:r>
              <w:rPr>
                <w:b w:val="false"/>
                <w:bCs w:val="false"/>
                <w:sz w:val="17"/>
                <w:szCs w:val="17"/>
              </w:rPr>
              <w:t xml:space="preserve">The only agent pilot has stalled waiting for approval.</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Priorities</w:t>
            </w:r>
          </w:p>
        </w:tc>
        <w:tc>
          <w:tcPr>
            <w:tcW w:type="dxa" w:w="7038"/>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val="false"/>
                <w:bCs w:val="false"/>
                <w:sz w:val="17"/>
                <w:szCs w:val="17"/>
              </w:rPr>
              <w:t xml:space="preserve">High: People and culture (two levels below target). Medium: Strategy and value, Platform and agentic AI. On track: Governance, Data, Security, Operations.</w:t>
            </w:r>
          </w:p>
        </w:tc>
      </w:tr>
      <w:tr>
        <w:tc>
          <w:tcPr>
            <w:tcW w:type="dxa" w:w="2600"/>
            <w:tcBorders>
              <w:top w:val="single" w:color="D0D7E1" w:sz="4"/>
              <w:left w:val="single" w:color="D0D7E1" w:sz="4"/>
              <w:bottom w:val="single" w:color="D0D7E1" w:sz="4"/>
              <w:right w:val="single" w:color="D0D7E1" w:sz="4"/>
            </w:tcBorders>
            <w:shd w:fill="F2F5F9" w:color="auto" w:val="clear"/>
            <w:tcMar>
              <w:top w:type="dxa" w:w="70"/>
              <w:left w:type="dxa" w:w="100"/>
              <w:bottom w:type="dxa" w:w="70"/>
              <w:right w:type="dxa" w:w="100"/>
            </w:tcMar>
            <w:vAlign w:val="top"/>
          </w:tcPr>
          <w:p>
            <w:pPr>
              <w:spacing w:after="40" w:line="252"/>
            </w:pPr>
            <w:r>
              <w:rPr>
                <w:b/>
                <w:bCs/>
                <w:color w:val="1F3A5F"/>
                <w:sz w:val="17"/>
                <w:szCs w:val="17"/>
              </w:rPr>
              <w:t xml:space="preserve">Next 90 days</w:t>
            </w:r>
          </w:p>
        </w:tc>
        <w:tc>
          <w:tcPr>
            <w:tcW w:type="dxa" w:w="7038"/>
            <w:tcBorders>
              <w:top w:val="single" w:color="D0D7E1" w:sz="4"/>
              <w:left w:val="single" w:color="D0D7E1" w:sz="4"/>
              <w:bottom w:val="single" w:color="D0D7E1" w:sz="4"/>
              <w:right w:val="single" w:color="D0D7E1" w:sz="4"/>
            </w:tcBorders>
            <w:shd w:fill="FFFFFF" w:color="auto" w:val="clear"/>
            <w:tcMar>
              <w:top w:type="dxa" w:w="70"/>
              <w:left w:type="dxa" w:w="100"/>
              <w:bottom w:type="dxa" w:w="70"/>
              <w:right w:type="dxa" w:w="100"/>
            </w:tcMar>
            <w:vAlign w:val="top"/>
          </w:tcPr>
          <w:p>
            <w:pPr>
              <w:spacing w:after="40" w:line="252"/>
            </w:pPr>
            <w:r>
              <w:rPr>
                <w:b w:val="false"/>
                <w:bCs w:val="false"/>
                <w:sz w:val="17"/>
                <w:szCs w:val="17"/>
              </w:rPr>
              <w:t xml:space="preserve">Keep the controls but make them proportionate with risk tiers and a fast lane. Make adoption a business-led ADKAR programme, baseline and report value, and take one agent through at autonomy level 1.</w:t>
            </w:r>
          </w:p>
        </w:tc>
      </w:tr>
    </w:tbl>
    <w:p>
      <w:pPr>
        <w:spacing w:after="120"/>
      </w:pPr>
    </w:p>
    <w:p>
      <w:pPr>
        <w:pStyle w:val="Heading2"/>
      </w:pPr>
      <w:r>
        <w:t xml:space="preserve">E.4 Teaching points</w:t>
      </w:r>
    </w:p>
    <w:p>
      <w:pPr>
        <w:pStyle w:val="ListParagraph"/>
        <w:numPr>
          <w:ilvl w:val="0"/>
          <w:numId w:val="10"/>
        </w:numPr>
        <w:spacing w:after="60"/>
      </w:pPr>
      <w:r>
        <w:rPr>
          <w:b w:val="false"/>
          <w:bCs w:val="false"/>
        </w:rPr>
        <w:t xml:space="preserve"/>
      </w:r>
      <w:r>
        <w:rPr>
          <w:b/>
          <w:bCs/>
        </w:rPr>
        <w:t xml:space="preserve">Score evidence, not intent.</w:t>
      </w:r>
      <w:r>
        <w:rPr>
          <w:b w:val="false"/>
          <w:bCs w:val="false"/>
        </w:rPr>
        <w:t xml:space="preserve"> Every score in both examples is backed by a specific observation. Ask participants what evidence supports each score.</w:t>
      </w:r>
    </w:p>
    <w:p>
      <w:pPr>
        <w:pStyle w:val="ListParagraph"/>
        <w:numPr>
          <w:ilvl w:val="0"/>
          <w:numId w:val="10"/>
        </w:numPr>
        <w:spacing w:after="60"/>
      </w:pPr>
      <w:r>
        <w:rPr>
          <w:b w:val="false"/>
          <w:bCs w:val="false"/>
        </w:rPr>
        <w:t xml:space="preserve"/>
      </w:r>
      <w:r>
        <w:rPr>
          <w:b/>
          <w:bCs/>
        </w:rPr>
        <w:t xml:space="preserve">The headline level can hide the real problem.</w:t>
      </w:r>
      <w:r>
        <w:rPr>
          <w:b w:val="false"/>
          <w:bCs w:val="false"/>
        </w:rPr>
        <w:t xml:space="preserve"> Northwind’s average flatters it; Contoso’s Level 3 hides a Level 1 people dimension. Always read the full profile and the radar chart.</w:t>
      </w:r>
    </w:p>
    <w:p>
      <w:pPr>
        <w:pStyle w:val="ListParagraph"/>
        <w:numPr>
          <w:ilvl w:val="0"/>
          <w:numId w:val="10"/>
        </w:numPr>
        <w:spacing w:after="60"/>
      </w:pPr>
      <w:r>
        <w:rPr>
          <w:b w:val="false"/>
          <w:bCs w:val="false"/>
        </w:rPr>
        <w:t xml:space="preserve"/>
      </w:r>
      <w:r>
        <w:rPr>
          <w:b/>
          <w:bCs/>
        </w:rPr>
        <w:t xml:space="preserve">Ceiling dimensions limit what is sustainable.</w:t>
      </w:r>
      <w:r>
        <w:rPr>
          <w:b w:val="false"/>
          <w:bCs w:val="false"/>
        </w:rPr>
        <w:t xml:space="preserve"> Weak data, security or governance caps the whole programme, however strong the strategy.</w:t>
      </w:r>
    </w:p>
    <w:p>
      <w:pPr>
        <w:pStyle w:val="ListParagraph"/>
        <w:numPr>
          <w:ilvl w:val="0"/>
          <w:numId w:val="10"/>
        </w:numPr>
        <w:spacing w:after="60"/>
      </w:pPr>
      <w:r>
        <w:rPr>
          <w:b w:val="false"/>
          <w:bCs w:val="false"/>
        </w:rPr>
        <w:t xml:space="preserve"/>
      </w:r>
      <w:r>
        <w:rPr>
          <w:b/>
          <w:bCs/>
        </w:rPr>
        <w:t xml:space="preserve">Look inside each dimension.</w:t>
      </w:r>
      <w:r>
        <w:rPr>
          <w:b w:val="false"/>
          <w:bCs w:val="false"/>
        </w:rPr>
        <w:t xml:space="preserve"> Contoso scores Level 4 for governance overall, yet one statement (risk tiering) scores 2. Strong controls applied without proportion block value as surely as having no controls.</w:t>
      </w:r>
    </w:p>
    <w:p>
      <w:pPr>
        <w:pStyle w:val="ListParagraph"/>
        <w:numPr>
          <w:ilvl w:val="0"/>
          <w:numId w:val="10"/>
        </w:numPr>
        <w:spacing w:after="60"/>
      </w:pPr>
      <w:r>
        <w:rPr>
          <w:b w:val="false"/>
          <w:bCs w:val="false"/>
        </w:rPr>
        <w:t xml:space="preserve"/>
      </w:r>
      <w:r>
        <w:rPr>
          <w:b/>
          <w:bCs/>
        </w:rPr>
        <w:t xml:space="preserve">Match the remedy to the barrier.</w:t>
      </w:r>
      <w:r>
        <w:rPr>
          <w:b w:val="false"/>
          <w:bCs w:val="false"/>
        </w:rPr>
        <w:t xml:space="preserve"> Northwind needs foundations before scale; Contoso needs proportionate governance and change management, not more controls.</w:t>
      </w:r>
    </w:p>
    <w:p>
      <w:pPr>
        <w:pStyle w:val="ListParagraph"/>
        <w:numPr>
          <w:ilvl w:val="0"/>
          <w:numId w:val="10"/>
        </w:numPr>
        <w:spacing w:after="60"/>
      </w:pPr>
      <w:r>
        <w:rPr>
          <w:b w:val="false"/>
          <w:bCs w:val="false"/>
        </w:rPr>
        <w:t xml:space="preserve"/>
      </w:r>
      <w:r>
        <w:rPr>
          <w:b/>
          <w:bCs/>
        </w:rPr>
        <w:t xml:space="preserve">Set realistic targets.</w:t>
      </w:r>
      <w:r>
        <w:rPr>
          <w:b w:val="false"/>
          <w:bCs w:val="false"/>
        </w:rPr>
        <w:t xml:space="preserve"> One level up in 12 months is typical; gaps of two levels need focused investment and sponsorship.</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A5F" w:sz="24"/>
              <w:bottom w:val="none" w:color="FFFFFF" w:sz="0"/>
              <w:right w:val="none" w:color="FFFFFF" w:sz="0"/>
            </w:tcBorders>
            <w:shd w:fill="F2F5F9" w:color="auto" w:val="clear"/>
            <w:tcMar>
              <w:top w:type="dxa" w:w="120"/>
              <w:left w:type="dxa" w:w="200"/>
              <w:bottom w:type="dxa" w:w="120"/>
              <w:right w:type="dxa" w:w="200"/>
            </w:tcMar>
          </w:tcPr>
          <w:p>
            <w:pPr>
              <w:spacing w:after="60"/>
            </w:pPr>
            <w:r>
              <w:rPr>
                <w:b/>
                <w:bCs/>
                <w:color w:val="1F3A5F"/>
                <w:sz w:val="20"/>
                <w:szCs w:val="20"/>
              </w:rPr>
              <w:t xml:space="preserve">Facilitator exercise</w:t>
            </w:r>
          </w:p>
          <w:p>
            <w:pPr>
              <w:spacing w:after="40" w:line="252"/>
            </w:pPr>
            <w:r>
              <w:rPr>
                <w:b w:val="false"/>
                <w:bCs w:val="false"/>
                <w:sz w:val="19"/>
                <w:szCs w:val="19"/>
              </w:rPr>
              <w:t xml:space="preserve">Give participants one example’s Assessment sheet with the Results hidden. Ask them to predict the overall level, the weakest dimension and the top three actions, then reveal the Results and Action Plan sheets and discuss the differences.</w:t>
            </w:r>
          </w:p>
        </w:tc>
      </w:tr>
    </w:tbl>
    <w:p>
      <w:pPr>
        <w:spacing w:after="120"/>
      </w:pPr>
    </w:p>
    <w:p>
      <w:pPr>
        <w:pStyle w:val="Heading1"/>
      </w:pPr>
      <w:r>
        <w:t xml:space="preserve">Appendix F. References and further reading</w:t>
      </w:r>
    </w:p>
    <w:p>
      <w:r>
        <w:rPr>
          <w:b/>
          <w:bCs/>
          <w:color w:val="1F3A5F"/>
        </w:rPr>
        <w:t xml:space="preserve">Frameworks and standards</w:t>
      </w:r>
    </w:p>
    <w:p>
      <w:pPr>
        <w:pStyle w:val="ListParagraph"/>
        <w:numPr>
          <w:ilvl w:val="0"/>
          <w:numId w:val="3"/>
        </w:numPr>
        <w:spacing w:after="60"/>
      </w:pPr>
      <w:r>
        <w:rPr>
          <w:b w:val="false"/>
          <w:bCs w:val="false"/>
        </w:rPr>
        <w:t xml:space="preserve">AWS Cloud Adoption Framework for Artificial Intelligence, Machine Learning, and Generative AI (whitepaper): docs.aws.amazon.com/whitepapers/latest/aws-caf-for-ai</w:t>
      </w:r>
    </w:p>
    <w:p>
      <w:pPr>
        <w:pStyle w:val="ListParagraph"/>
        <w:numPr>
          <w:ilvl w:val="0"/>
          <w:numId w:val="3"/>
        </w:numPr>
        <w:spacing w:after="60"/>
      </w:pPr>
      <w:r>
        <w:rPr>
          <w:b w:val="false"/>
          <w:bCs w:val="false"/>
        </w:rPr>
        <w:t xml:space="preserve">NIST AI Risk Management Framework (AI 100-1), January 2023: nist.gov/itl/ai-risk-management-framework</w:t>
      </w:r>
    </w:p>
    <w:p>
      <w:pPr>
        <w:pStyle w:val="ListParagraph"/>
        <w:numPr>
          <w:ilvl w:val="0"/>
          <w:numId w:val="3"/>
        </w:numPr>
        <w:spacing w:after="60"/>
      </w:pPr>
      <w:r>
        <w:rPr>
          <w:b w:val="false"/>
          <w:bCs w:val="false"/>
        </w:rPr>
        <w:t xml:space="preserve">NIST AI 600-1, AI RMF Generative Artificial Intelligence Profile, July 2024: nvlpubs.nist.gov/nistpubs/ai/NIST.AI.600-1.pdf</w:t>
      </w:r>
    </w:p>
    <w:p>
      <w:pPr>
        <w:pStyle w:val="ListParagraph"/>
        <w:numPr>
          <w:ilvl w:val="0"/>
          <w:numId w:val="3"/>
        </w:numPr>
        <w:spacing w:after="60"/>
      </w:pPr>
      <w:r>
        <w:rPr>
          <w:b w:val="false"/>
          <w:bCs w:val="false"/>
        </w:rPr>
        <w:t xml:space="preserve">ISO/IEC 42001:2023 Information technology: Artificial intelligence: Management system (iso.org); see also ISO/IEC 23894 and ISO/IEC 42005</w:t>
      </w:r>
    </w:p>
    <w:p>
      <w:pPr>
        <w:pStyle w:val="ListParagraph"/>
        <w:numPr>
          <w:ilvl w:val="0"/>
          <w:numId w:val="3"/>
        </w:numPr>
        <w:spacing w:after="60"/>
      </w:pPr>
      <w:r>
        <w:rPr>
          <w:b w:val="false"/>
          <w:bCs w:val="false"/>
        </w:rPr>
        <w:t xml:space="preserve">Regulation (EU) 2024/1689 (EU AI Act): eur-lex.europa.eu</w:t>
      </w:r>
    </w:p>
    <w:p>
      <w:pPr>
        <w:pStyle w:val="ListParagraph"/>
        <w:numPr>
          <w:ilvl w:val="0"/>
          <w:numId w:val="3"/>
        </w:numPr>
        <w:spacing w:after="60"/>
      </w:pPr>
      <w:r>
        <w:rPr>
          <w:b w:val="false"/>
          <w:bCs w:val="false"/>
        </w:rPr>
        <w:t xml:space="preserve">Prosci ADKAR Model: prosci.com</w:t>
      </w:r>
    </w:p>
    <w:p>
      <w:pPr>
        <w:pStyle w:val="ListParagraph"/>
        <w:numPr>
          <w:ilvl w:val="0"/>
          <w:numId w:val="3"/>
        </w:numPr>
        <w:spacing w:after="60"/>
      </w:pPr>
      <w:r>
        <w:rPr>
          <w:b w:val="false"/>
          <w:bCs w:val="false"/>
        </w:rPr>
        <w:t xml:space="preserve">OWASP Top 10 for LLM Applications 2025 and OWASP agentic security guidance: genai.owasp.org</w:t>
      </w:r>
    </w:p>
    <w:p>
      <w:pPr>
        <w:pStyle w:val="ListParagraph"/>
        <w:numPr>
          <w:ilvl w:val="0"/>
          <w:numId w:val="3"/>
        </w:numPr>
        <w:spacing w:after="60"/>
      </w:pPr>
      <w:r>
        <w:rPr>
          <w:b w:val="false"/>
          <w:bCs w:val="false"/>
        </w:rPr>
        <w:t xml:space="preserve">MITRE ATLAS (Adversarial Threat Landscape for AI Systems): atlas.mitre.org</w:t>
      </w:r>
    </w:p>
    <w:p>
      <w:pPr>
        <w:pStyle w:val="ListParagraph"/>
        <w:numPr>
          <w:ilvl w:val="0"/>
          <w:numId w:val="3"/>
        </w:numPr>
        <w:spacing w:after="60"/>
      </w:pPr>
      <w:r>
        <w:rPr>
          <w:b w:val="false"/>
          <w:bCs w:val="false"/>
        </w:rPr>
        <w:t xml:space="preserve">OpenTelemetry semantic conventions for generative AI: opentelemetry.io</w:t>
      </w:r>
    </w:p>
    <w:p>
      <w:r>
        <w:rPr>
          <w:b/>
          <w:bCs/>
          <w:color w:val="1F3A5F"/>
        </w:rPr>
        <w:t xml:space="preserve">Analyst and industry research cited</w:t>
      </w:r>
    </w:p>
    <w:p>
      <w:pPr>
        <w:pStyle w:val="ListParagraph"/>
        <w:numPr>
          <w:ilvl w:val="0"/>
          <w:numId w:val="3"/>
        </w:numPr>
        <w:spacing w:after="60"/>
      </w:pPr>
      <w:r>
        <w:rPr>
          <w:b w:val="false"/>
          <w:bCs w:val="false"/>
        </w:rPr>
        <w:t xml:space="preserve">Gartner, AI agent success hinges on reliability, not autonomy (2026): prediction that 40% of agentic AI projects will be cancelled by end of 2027. gartner.com/en/articles/ai-agent-reality-check</w:t>
      </w:r>
    </w:p>
    <w:p>
      <w:pPr>
        <w:pStyle w:val="ListParagraph"/>
        <w:numPr>
          <w:ilvl w:val="0"/>
          <w:numId w:val="3"/>
        </w:numPr>
        <w:spacing w:after="60"/>
      </w:pPr>
      <w:r>
        <w:rPr>
          <w:b w:val="false"/>
          <w:bCs w:val="false"/>
        </w:rPr>
        <w:t xml:space="preserve">Gartner, Agentic AI governance requires more than policies (2026): runtime-controls prediction for 2029. gartner.com/en/articles/agentic-ai-infrastructure-governance</w:t>
      </w:r>
    </w:p>
    <w:p>
      <w:pPr>
        <w:pStyle w:val="ListParagraph"/>
        <w:numPr>
          <w:ilvl w:val="0"/>
          <w:numId w:val="3"/>
        </w:numPr>
        <w:spacing w:after="60"/>
      </w:pPr>
      <w:r>
        <w:rPr>
          <w:b w:val="false"/>
          <w:bCs w:val="false"/>
        </w:rPr>
        <w:t xml:space="preserve">Gartner, 2026 Hype Cycle for Agentic AI: 17% of organisations have deployed AI agents. gartner.com/en/articles/hype-cycle-for-agentic-ai</w:t>
      </w:r>
    </w:p>
    <w:p>
      <w:pPr>
        <w:pStyle w:val="ListParagraph"/>
        <w:numPr>
          <w:ilvl w:val="0"/>
          <w:numId w:val="3"/>
        </w:numPr>
        <w:spacing w:after="60"/>
      </w:pPr>
      <w:r>
        <w:rPr>
          <w:b w:val="false"/>
          <w:bCs w:val="false"/>
        </w:rPr>
        <w:t xml:space="preserve">Gartner press release, 29 September 2026: 70% of enterprises predicted to abandon agentic AI built by vendor forward-deployed engineering by 2028. gartner.com/en/newsroom</w:t>
      </w:r>
    </w:p>
    <w:p>
      <w:pPr>
        <w:pStyle w:val="ListParagraph"/>
        <w:numPr>
          <w:ilvl w:val="0"/>
          <w:numId w:val="3"/>
        </w:numPr>
        <w:spacing w:after="60"/>
      </w:pPr>
      <w:r>
        <w:rPr>
          <w:b w:val="false"/>
          <w:bCs w:val="false"/>
        </w:rPr>
        <w:t xml:space="preserve">Gartner, Market Guide for AI Trust, Risk and Security Management. gartner.com/en/documents/6185655</w:t>
      </w:r>
    </w:p>
    <w:p>
      <w:pPr>
        <w:pStyle w:val="ListParagraph"/>
        <w:numPr>
          <w:ilvl w:val="0"/>
          <w:numId w:val="3"/>
        </w:numPr>
        <w:spacing w:after="60"/>
      </w:pPr>
      <w:r>
        <w:rPr>
          <w:b w:val="false"/>
          <w:bCs w:val="false"/>
        </w:rPr>
        <w:t xml:space="preserve">Gartner, Lack of AI-ready data puts AI projects at risk (press release, February 2025). gartner.com/en/newsroom</w:t>
      </w:r>
    </w:p>
    <w:p>
      <w:pPr>
        <w:pStyle w:val="ListParagraph"/>
        <w:numPr>
          <w:ilvl w:val="0"/>
          <w:numId w:val="3"/>
        </w:numPr>
        <w:spacing w:after="60"/>
      </w:pPr>
      <w:r>
        <w:rPr>
          <w:b w:val="false"/>
          <w:bCs w:val="false"/>
        </w:rPr>
        <w:t xml:space="preserve">Deloitte, State of AI in the Enterprise (2026 edition), as summarised by G2: learn.g2.com/enterprise-ai-adoption-framework</w:t>
      </w:r>
    </w:p>
    <w:p>
      <w:pPr>
        <w:pStyle w:val="ListParagraph"/>
        <w:numPr>
          <w:ilvl w:val="0"/>
          <w:numId w:val="3"/>
        </w:numPr>
        <w:spacing w:after="60"/>
      </w:pPr>
      <w:r>
        <w:rPr>
          <w:b w:val="false"/>
          <w:bCs w:val="false"/>
        </w:rPr>
        <w:t xml:space="preserve">McKinsey, The State of AI (2025): 88% of organisations using AI regularly in at least one business function</w:t>
      </w:r>
    </w:p>
    <w:p>
      <w:pPr>
        <w:pStyle w:val="ListParagraph"/>
        <w:numPr>
          <w:ilvl w:val="0"/>
          <w:numId w:val="3"/>
        </w:numPr>
        <w:spacing w:after="60"/>
      </w:pPr>
      <w:r>
        <w:rPr>
          <w:b w:val="false"/>
          <w:bCs w:val="false"/>
        </w:rPr>
        <w:t xml:space="preserve">The Decision Lab, AI adoption strategy: a behavioural science framework for workforce adoption: thedecisionlab.com/guides/ai-adoption-strategy</w:t>
      </w:r>
    </w:p>
    <w:p>
      <w:pPr>
        <w:pStyle w:val="ListParagraph"/>
        <w:numPr>
          <w:ilvl w:val="0"/>
          <w:numId w:val="3"/>
        </w:numPr>
        <w:spacing w:after="60"/>
      </w:pPr>
      <w:r>
        <w:rPr>
          <w:b w:val="false"/>
          <w:bCs w:val="false"/>
        </w:rPr>
        <w:t xml:space="preserve">Microsoft, Enterprise AI adoption: microsoft.com/en-us/ai/ai-101/enterprise-adoption</w:t>
      </w:r>
    </w:p>
    <w:p>
      <w:r>
        <w:rPr>
          <w:b w:val="false"/>
          <w:bCs w:val="false"/>
          <w:i/>
          <w:iCs/>
          <w:color w:val="5A6270"/>
          <w:sz w:val="17"/>
          <w:szCs w:val="17"/>
        </w:rPr>
        <w:t xml:space="preserve">Statistics and regulatory dates change frequently. Verify figures against the latest publications before using them in customer materials. This playbook is guidance, not legal advice.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6270"/>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A6270"/>
        <w:sz w:val="15"/>
        <w:szCs w:val="15"/>
      </w:rPr>
      <w:t xml:space="preserve">The Unified AI Adoption Framework  |  v1.0  |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bullet"/>
      <w:lvlText w:val="•"/>
      <w:lvlJc w:val="left"/>
      <w:pPr>
        <w:ind w:left="220" w:hanging="16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abstractNum w:abstractNumId="7" w15:restartNumberingAfterBreak="0">
    <w:multiLevelType w:val="hybridMultilevel"/>
    <w:lvl w:ilvl="0" w15:tentative="1">
      <w:start w:val="1"/>
      <w:numFmt w:val="decimal"/>
      <w:lvlText w:val="%1."/>
      <w:lvlJc w:val="left"/>
      <w:pPr>
        <w:ind w:left="400" w:hanging="300"/>
      </w:pPr>
    </w:lvl>
  </w:abstractNum>
  <w:abstractNum w:abstractNumId="8" w15:restartNumberingAfterBreak="0">
    <w:multiLevelType w:val="hybridMultilevel"/>
    <w:lvl w:ilvl="0" w15:tentative="1">
      <w:start w:val="1"/>
      <w:numFmt w:val="decimal"/>
      <w:lvlText w:val="%1."/>
      <w:lvlJc w:val="left"/>
      <w:pPr>
        <w:ind w:left="400" w:hanging="300"/>
      </w:pPr>
    </w:lvl>
  </w:abstractNum>
  <w:abstractNum w:abstractNumId="9" w15:restartNumberingAfterBreak="0">
    <w:multiLevelType w:val="hybridMultilevel"/>
    <w:lvl w:ilvl="0" w15:tentative="1">
      <w:start w:val="1"/>
      <w:numFmt w:val="decimal"/>
      <w:lvlText w:val="%1."/>
      <w:lvlJc w:val="left"/>
      <w:pPr>
        <w:ind w:left="400" w:hanging="300"/>
      </w:pPr>
    </w:lvl>
  </w:abstractNum>
  <w:abstractNum w:abstractNumId="10" w15:restartNumberingAfterBreak="0">
    <w:multiLevelType w:val="hybridMultilevel"/>
    <w:lvl w:ilvl="0" w15:tentative="1">
      <w:start w:val="1"/>
      <w:numFmt w:val="decimal"/>
      <w:lvlText w:val="%1."/>
      <w:lvlJc w:val="left"/>
      <w:pPr>
        <w:ind w:left="400" w:hanging="300"/>
      </w:pPr>
    </w:lvl>
  </w:abstractNum>
  <w:abstractNum w:abstractNumId="11" w15:restartNumberingAfterBreak="0">
    <w:multiLevelType w:val="hybridMultilevel"/>
    <w:lvl w:ilvl="0" w15:tentative="1">
      <w:start w:val="1"/>
      <w:numFmt w:val="decimal"/>
      <w:lvlText w:val="%1."/>
      <w:lvlJc w:val="left"/>
      <w:pPr>
        <w:ind w:left="400" w:hanging="300"/>
      </w:pPr>
    </w:lvl>
  </w:abstractNum>
  <w:abstractNum w:abstractNumId="12" w15:restartNumberingAfterBreak="0">
    <w:multiLevelType w:val="hybridMultilevel"/>
    <w:lvl w:ilvl="0" w15:tentative="1">
      <w:start w:val="1"/>
      <w:numFmt w:val="decimal"/>
      <w:lvlText w:val="%1."/>
      <w:lvlJc w:val="left"/>
      <w:pPr>
        <w:ind w:left="400" w:hanging="300"/>
      </w:pPr>
    </w:lvl>
  </w:abstractNum>
  <w:abstractNum w:abstractNumId="13" w15:restartNumberingAfterBreak="0">
    <w:multiLevelType w:val="hybridMultilevel"/>
    <w:lvl w:ilvl="0" w15:tentative="1">
      <w:start w:val="1"/>
      <w:numFmt w:val="decimal"/>
      <w:lvlText w:val="%1."/>
      <w:lvlJc w:val="left"/>
      <w:pPr>
        <w:ind w:left="400" w:hanging="300"/>
      </w:pPr>
    </w:lvl>
  </w:abstractNum>
  <w:abstractNum w:abstractNumId="14" w15:restartNumberingAfterBreak="0">
    <w:multiLevelType w:val="hybridMultilevel"/>
    <w:lvl w:ilvl="0" w15:tentative="1">
      <w:start w:val="1"/>
      <w:numFmt w:val="decimal"/>
      <w:lvlText w:val="%1."/>
      <w:lvlJc w:val="left"/>
      <w:pPr>
        <w:ind w:left="400" w:hanging="300"/>
      </w:pPr>
    </w:lvl>
  </w:abstractNum>
  <w:abstractNum w:abstractNumId="15"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F8B7D" w:sz="12" w:space="4"/>
      </w:pBdr>
      <w:spacing w:after="160" w:before="420"/>
      <w:outlineLvl w:val="0"/>
    </w:pPr>
    <w:rPr>
      <w:b/>
      <w:bCs/>
      <w:color w:val="1F3A5F"/>
      <w:sz w:val="32"/>
      <w:szCs w:val="32"/>
    </w:rPr>
  </w:style>
  <w:style w:type="paragraph" w:styleId="Heading2">
    <w:name w:val="Heading 2"/>
    <w:basedOn w:val="Normal"/>
    <w:next w:val="Normal"/>
    <w:qFormat/>
    <w:pPr>
      <w:spacing w:after="100" w:before="280"/>
      <w:outlineLvl w:val="1"/>
    </w:pPr>
    <w:rPr>
      <w:b/>
      <w:bCs/>
      <w:color w:val="0F8B7D"/>
      <w:sz w:val="25"/>
      <w:szCs w:val="25"/>
    </w:rPr>
  </w:style>
  <w:style w:type="paragraph" w:styleId="Heading3">
    <w:name w:val="Heading 3"/>
    <w:basedOn w:val="Normal"/>
    <w:next w:val="Normal"/>
    <w:qFormat/>
    <w:pPr>
      <w:spacing w:after="80" w:before="180"/>
      <w:outlineLvl w:val="2"/>
    </w:pPr>
    <w:rPr>
      <w:b/>
      <w:bCs/>
      <w:color w:val="1F3A5F"/>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webextensions/_rels/taskpanes.xml.rels><?xml version="1.0" encoding="UTF-8" standalone="yes"?>
<Relationships xmlns="http://schemas.openxmlformats.org/package/2006/relationships">
  <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8711E6-6A00-4CAC-A537-74A10D601348}">
  <we:reference id="WA200010615" version="1.0.10036.0" store="en-us" storeType="OMEX"/>
  <we:alternateReferences/>
  <we:properties>
    <we:property name="Office.AutoShowTaskpaneWithDocument" value="true"/>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Unified AI Adoption Framework</dc:title>
  <dc:creator>Un-named</dc:creator>
  <dc:description>Integrated playbook for AI adoption</dc:description>
  <cp:lastModifiedBy>Un-named</cp:lastModifiedBy>
  <cp:revision>1</cp:revision>
  <dcterms:created xsi:type="dcterms:W3CDTF">2026-10-05T11:01:28.104Z</dcterms:created>
  <dcterms:modified xsi:type="dcterms:W3CDTF">2026-10-05T11:01:28.107Z</dcterms:modified>
</cp:coreProperties>
</file>

<file path=docProps/custom.xml><?xml version="1.0" encoding="utf-8"?>
<Properties xmlns="http://schemas.openxmlformats.org/officeDocument/2006/custom-properties" xmlns:vt="http://schemas.openxmlformats.org/officeDocument/2006/docPropsVTypes"/>
</file>